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A54E81">
      <w:pPr>
        <w:jc w:val="center"/>
        <w:rPr>
          <w:rFonts w:hint="eastAsia" w:eastAsia="宋体"/>
          <w:b/>
          <w:bCs/>
          <w:sz w:val="32"/>
          <w:lang w:val="en-US" w:eastAsia="zh-CN"/>
        </w:rPr>
      </w:pPr>
      <w:r>
        <w:rPr>
          <w:rFonts w:hint="eastAsia"/>
          <w:b/>
          <w:bCs/>
          <w:sz w:val="32"/>
        </w:rPr>
        <w:t>SAS-1300节能空气系统技术</w:t>
      </w:r>
      <w:r>
        <w:rPr>
          <w:rFonts w:hint="eastAsia"/>
          <w:b/>
          <w:bCs/>
          <w:sz w:val="32"/>
          <w:lang w:eastAsia="zh-CN"/>
        </w:rPr>
        <w:t>要求</w:t>
      </w:r>
    </w:p>
    <w:p w14:paraId="5DC16382">
      <w:pPr>
        <w:wordWrap w:val="0"/>
        <w:jc w:val="right"/>
        <w:rPr>
          <w:sz w:val="24"/>
        </w:rPr>
      </w:pPr>
      <w:r>
        <w:rPr>
          <w:rFonts w:hint="eastAsia"/>
        </w:rPr>
        <w:t xml:space="preserve">时间：2025年2月 </w:t>
      </w:r>
      <w:r>
        <w:rPr>
          <w:rFonts w:hint="eastAsia"/>
          <w:lang w:val="en-US" w:eastAsia="zh-CN"/>
        </w:rPr>
        <w:t>24</w:t>
      </w:r>
      <w:r>
        <w:rPr>
          <w:rFonts w:hint="eastAsia"/>
        </w:rPr>
        <w:t>日</w:t>
      </w:r>
    </w:p>
    <w:p w14:paraId="5F13585A">
      <w:pPr>
        <w:spacing w:line="400" w:lineRule="exact"/>
        <w:rPr>
          <w:b/>
          <w:sz w:val="24"/>
        </w:rPr>
      </w:pPr>
    </w:p>
    <w:p w14:paraId="5FE1612F">
      <w:pPr>
        <w:rPr>
          <w:sz w:val="24"/>
        </w:rPr>
      </w:pPr>
    </w:p>
    <w:p w14:paraId="645A3817">
      <w:pPr>
        <w:spacing w:line="360" w:lineRule="auto"/>
        <w:ind w:firstLine="480" w:firstLineChars="200"/>
        <w:rPr>
          <w:rFonts w:ascii="宋体" w:hAnsi="宋体"/>
          <w:sz w:val="24"/>
        </w:rPr>
      </w:pPr>
      <w:r>
        <w:rPr>
          <w:rFonts w:hint="eastAsia" w:ascii="宋体" w:hAnsi="宋体"/>
          <w:sz w:val="24"/>
        </w:rPr>
        <w:t>本文件是SAS-1300节能空气系统合同的技术</w:t>
      </w:r>
      <w:r>
        <w:rPr>
          <w:rFonts w:hint="eastAsia" w:ascii="宋体" w:hAnsi="宋体"/>
          <w:sz w:val="24"/>
          <w:lang w:eastAsia="zh-CN"/>
        </w:rPr>
        <w:t>要求</w:t>
      </w:r>
      <w:r>
        <w:rPr>
          <w:rFonts w:hint="eastAsia" w:ascii="宋体" w:hAnsi="宋体"/>
          <w:sz w:val="24"/>
        </w:rPr>
        <w:t>，具体条款如下：</w:t>
      </w:r>
    </w:p>
    <w:p w14:paraId="7426B965">
      <w:pPr>
        <w:numPr>
          <w:ilvl w:val="0"/>
          <w:numId w:val="1"/>
        </w:numPr>
        <w:spacing w:line="360" w:lineRule="auto"/>
        <w:rPr>
          <w:rFonts w:ascii="宋体" w:hAnsi="宋体"/>
          <w:sz w:val="24"/>
          <w:szCs w:val="21"/>
        </w:rPr>
      </w:pPr>
      <w:r>
        <w:rPr>
          <w:rFonts w:hint="eastAsia" w:ascii="宋体" w:hAnsi="宋体"/>
          <w:sz w:val="24"/>
        </w:rPr>
        <w:t>卖方负责系统的设计、设备提供和安装调试的技术指导。系统及设备是具有显著节能效果先进的国家专利产品。单套系统设备包括制热水换热器、空气冷却器、高效卧式气液分离器和空气加热器各一台，上述四个功能设备</w:t>
      </w:r>
      <w:r>
        <w:rPr>
          <w:rFonts w:hint="eastAsia" w:ascii="宋体" w:hAnsi="宋体"/>
          <w:sz w:val="24"/>
          <w:u w:val="single"/>
        </w:rPr>
        <w:t>集成在一个压力容器壳体内</w:t>
      </w:r>
      <w:r>
        <w:rPr>
          <w:rFonts w:hint="eastAsia" w:ascii="宋体" w:hAnsi="宋体"/>
          <w:sz w:val="24"/>
        </w:rPr>
        <w:t>。系统安装所需管道阀门和自控等所有主辅材料由买方负责采购，具体现场安装施工由买方负责实施。</w:t>
      </w:r>
    </w:p>
    <w:p w14:paraId="0CA35F3D">
      <w:pPr>
        <w:numPr>
          <w:ilvl w:val="0"/>
          <w:numId w:val="1"/>
        </w:numPr>
        <w:spacing w:line="360" w:lineRule="auto"/>
        <w:rPr>
          <w:rFonts w:ascii="宋体" w:hAnsi="宋体"/>
          <w:szCs w:val="21"/>
        </w:rPr>
      </w:pPr>
      <w:r>
        <w:rPr>
          <w:rFonts w:hint="eastAsia" w:ascii="宋体" w:hAnsi="宋体"/>
          <w:sz w:val="24"/>
        </w:rPr>
        <w:t>系统</w:t>
      </w:r>
      <w:r>
        <w:rPr>
          <w:rFonts w:hint="eastAsia" w:ascii="宋体" w:hAnsi="宋体"/>
          <w:sz w:val="24"/>
          <w:szCs w:val="21"/>
        </w:rPr>
        <w:t>共二套，单套</w:t>
      </w:r>
      <w:r>
        <w:rPr>
          <w:rFonts w:hint="eastAsia" w:ascii="宋体" w:hAnsi="宋体"/>
          <w:sz w:val="24"/>
        </w:rPr>
        <w:t>空气流量：130</w:t>
      </w:r>
      <w:r>
        <w:rPr>
          <w:rFonts w:ascii="宋体" w:hAnsi="宋体"/>
          <w:sz w:val="24"/>
        </w:rPr>
        <w:t>0</w:t>
      </w:r>
      <w:r>
        <w:rPr>
          <w:sz w:val="24"/>
        </w:rPr>
        <w:t>N</w:t>
      </w:r>
      <w:r>
        <w:rPr>
          <w:rFonts w:hint="eastAsia"/>
          <w:sz w:val="24"/>
        </w:rPr>
        <w:t>m</w:t>
      </w:r>
      <w:r>
        <w:rPr>
          <w:sz w:val="24"/>
          <w:vertAlign w:val="superscript"/>
        </w:rPr>
        <w:t>3</w:t>
      </w:r>
      <w:r>
        <w:rPr>
          <w:sz w:val="24"/>
        </w:rPr>
        <w:t>/min</w:t>
      </w:r>
      <w:r>
        <w:rPr>
          <w:rFonts w:hint="eastAsia" w:ascii="宋体" w:hAnsi="宋体"/>
          <w:sz w:val="24"/>
        </w:rPr>
        <w:t>（标准状态：</w:t>
      </w:r>
      <w:r>
        <w:rPr>
          <w:rFonts w:ascii="宋体" w:hAnsi="宋体"/>
          <w:sz w:val="24"/>
        </w:rPr>
        <w:t>0</w:t>
      </w:r>
      <w:r>
        <w:rPr>
          <w:rFonts w:hint="eastAsia" w:ascii="宋体" w:hAnsi="宋体"/>
          <w:sz w:val="24"/>
        </w:rPr>
        <w:t>℃，</w:t>
      </w:r>
      <w:r>
        <w:rPr>
          <w:rFonts w:ascii="宋体" w:hAnsi="宋体"/>
          <w:sz w:val="24"/>
        </w:rPr>
        <w:t>0.1MPa</w:t>
      </w:r>
      <w:r>
        <w:rPr>
          <w:rFonts w:hint="eastAsia" w:ascii="宋体" w:hAnsi="宋体"/>
          <w:sz w:val="24"/>
        </w:rPr>
        <w:t>），工作压力约0.</w:t>
      </w:r>
      <w:r>
        <w:rPr>
          <w:rFonts w:ascii="宋体" w:hAnsi="宋体"/>
          <w:sz w:val="24"/>
        </w:rPr>
        <w:t>1MP</w:t>
      </w:r>
      <w:r>
        <w:rPr>
          <w:rFonts w:hint="eastAsia" w:ascii="宋体" w:hAnsi="宋体"/>
          <w:sz w:val="24"/>
        </w:rPr>
        <w:t>a</w:t>
      </w:r>
      <w:r>
        <w:rPr>
          <w:rFonts w:ascii="宋体" w:hAnsi="宋体"/>
          <w:sz w:val="24"/>
        </w:rPr>
        <w:t>～０</w:t>
      </w:r>
      <w:r>
        <w:rPr>
          <w:rFonts w:hint="eastAsia" w:ascii="宋体" w:hAnsi="宋体"/>
          <w:sz w:val="24"/>
        </w:rPr>
        <w:t>.</w:t>
      </w:r>
      <w:r>
        <w:rPr>
          <w:rFonts w:ascii="宋体" w:hAnsi="宋体"/>
          <w:sz w:val="24"/>
        </w:rPr>
        <w:t>105MPa</w:t>
      </w:r>
      <w:r>
        <w:rPr>
          <w:rFonts w:hint="eastAsia" w:ascii="宋体" w:hAnsi="宋体"/>
          <w:sz w:val="24"/>
        </w:rPr>
        <w:t>（表压）。系统进口温度90～120℃</w:t>
      </w:r>
      <w:r>
        <w:rPr>
          <w:rFonts w:hint="eastAsia" w:ascii="宋体" w:hAnsi="宋体"/>
          <w:sz w:val="24"/>
          <w:szCs w:val="21"/>
        </w:rPr>
        <w:t>。空压机出口至本系统进口空气总管须保温，以保证</w:t>
      </w:r>
      <w:r>
        <w:rPr>
          <w:rFonts w:hint="eastAsia" w:ascii="宋体" w:hAnsi="宋体"/>
          <w:sz w:val="24"/>
        </w:rPr>
        <w:t>系统进口温度。</w:t>
      </w:r>
    </w:p>
    <w:p w14:paraId="72897143">
      <w:pPr>
        <w:numPr>
          <w:ilvl w:val="0"/>
          <w:numId w:val="1"/>
        </w:numPr>
        <w:spacing w:line="360" w:lineRule="auto"/>
        <w:rPr>
          <w:rFonts w:ascii="宋体" w:hAnsi="宋体"/>
          <w:szCs w:val="21"/>
        </w:rPr>
      </w:pPr>
      <w:r>
        <w:rPr>
          <w:rFonts w:hint="eastAsia" w:ascii="宋体" w:hAnsi="宋体"/>
          <w:sz w:val="24"/>
          <w:szCs w:val="21"/>
        </w:rPr>
        <w:t>制热水换热器，型号K</w:t>
      </w:r>
      <w:r>
        <w:rPr>
          <w:rFonts w:ascii="宋体" w:hAnsi="宋体"/>
          <w:sz w:val="24"/>
          <w:szCs w:val="21"/>
        </w:rPr>
        <w:t>L</w:t>
      </w:r>
      <w:r>
        <w:rPr>
          <w:rFonts w:hint="eastAsia" w:ascii="宋体" w:hAnsi="宋体"/>
          <w:sz w:val="24"/>
          <w:szCs w:val="21"/>
        </w:rPr>
        <w:t>s-1300</w:t>
      </w:r>
      <w:r>
        <w:rPr>
          <w:rFonts w:ascii="宋体" w:hAnsi="宋体"/>
          <w:sz w:val="24"/>
          <w:szCs w:val="21"/>
        </w:rPr>
        <w:t>C。</w:t>
      </w:r>
      <w:r>
        <w:rPr>
          <w:rFonts w:hint="eastAsia" w:ascii="宋体" w:hAnsi="宋体"/>
          <w:sz w:val="24"/>
        </w:rPr>
        <w:t>材质：外壳碳钢（包括圆筒壳体、矩形水箱、法兰、支座等）、内件304不锈钢，换热元件为</w:t>
      </w:r>
      <w:r>
        <w:rPr>
          <w:rFonts w:hint="eastAsia" w:ascii="宋体" w:hAnsi="宋体"/>
          <w:b/>
          <w:sz w:val="24"/>
        </w:rPr>
        <w:t>316</w:t>
      </w:r>
      <w:r>
        <w:rPr>
          <w:rFonts w:ascii="宋体" w:hAnsi="宋体"/>
          <w:b/>
          <w:sz w:val="24"/>
        </w:rPr>
        <w:t>L</w:t>
      </w:r>
      <w:r>
        <w:rPr>
          <w:rFonts w:hint="eastAsia" w:ascii="宋体" w:hAnsi="宋体"/>
          <w:sz w:val="24"/>
        </w:rPr>
        <w:t>不锈钢基管铝轧翅片复合管。内含一组具有上下可拆卸盖板的换热单元。热水是本系统的副产品，其获取的热量多少受系统进口热空气条件制约、受加热器空气余热利用程度制约。如果热水流量恒定，其出口温度是个变量。热水量及温度范围见后表。</w:t>
      </w:r>
    </w:p>
    <w:p w14:paraId="1DCB09D5">
      <w:pPr>
        <w:numPr>
          <w:ilvl w:val="0"/>
          <w:numId w:val="1"/>
        </w:numPr>
        <w:spacing w:line="360" w:lineRule="auto"/>
        <w:rPr>
          <w:rFonts w:ascii="宋体" w:hAnsi="宋体"/>
          <w:szCs w:val="21"/>
        </w:rPr>
      </w:pPr>
      <w:r>
        <w:rPr>
          <w:rFonts w:hint="eastAsia" w:ascii="宋体" w:hAnsi="宋体"/>
          <w:sz w:val="24"/>
        </w:rPr>
        <w:t>空气冷却器，型号</w:t>
      </w:r>
      <w:r>
        <w:rPr>
          <w:rFonts w:ascii="宋体" w:hAnsi="宋体"/>
          <w:sz w:val="24"/>
        </w:rPr>
        <w:t>KL</w:t>
      </w:r>
      <w:r>
        <w:rPr>
          <w:rFonts w:hint="eastAsia" w:ascii="宋体" w:hAnsi="宋体"/>
          <w:sz w:val="24"/>
        </w:rPr>
        <w:t>f</w:t>
      </w:r>
      <w:r>
        <w:rPr>
          <w:rFonts w:ascii="宋体" w:hAnsi="宋体"/>
          <w:sz w:val="24"/>
        </w:rPr>
        <w:t>-</w:t>
      </w:r>
      <w:r>
        <w:rPr>
          <w:rFonts w:hint="eastAsia" w:ascii="宋体" w:hAnsi="宋体"/>
          <w:sz w:val="24"/>
        </w:rPr>
        <w:t>130</w:t>
      </w:r>
      <w:r>
        <w:rPr>
          <w:rFonts w:ascii="宋体" w:hAnsi="宋体"/>
          <w:sz w:val="24"/>
        </w:rPr>
        <w:t>0C</w:t>
      </w:r>
      <w:r>
        <w:rPr>
          <w:rFonts w:hint="eastAsia" w:ascii="宋体" w:hAnsi="宋体"/>
          <w:sz w:val="24"/>
        </w:rPr>
        <w:t>。材质：外壳碳钢（包括圆筒壳体、矩形水箱、法兰、支座等）、内件为304不锈钢，换热元件为</w:t>
      </w:r>
      <w:r>
        <w:rPr>
          <w:rFonts w:hint="eastAsia" w:ascii="宋体" w:hAnsi="宋体"/>
          <w:b/>
          <w:sz w:val="24"/>
        </w:rPr>
        <w:t>304</w:t>
      </w:r>
      <w:r>
        <w:rPr>
          <w:rFonts w:hint="eastAsia" w:ascii="宋体" w:hAnsi="宋体"/>
          <w:sz w:val="24"/>
        </w:rPr>
        <w:t>不锈钢基管铝轧翅片复合管。内含二组具有上下可拆卸盖板的换热单元，分别运行循环水和低温水。本设备与前述“制热水换热器”同为局部开矩形孔结构的卧式圆筒形压力容器。</w:t>
      </w:r>
    </w:p>
    <w:p w14:paraId="1144F8D6">
      <w:pPr>
        <w:numPr>
          <w:ilvl w:val="0"/>
          <w:numId w:val="1"/>
        </w:numPr>
        <w:spacing w:line="360" w:lineRule="auto"/>
        <w:rPr>
          <w:rFonts w:ascii="宋体" w:hAnsi="宋体"/>
          <w:sz w:val="24"/>
        </w:rPr>
      </w:pPr>
      <w:r>
        <w:rPr>
          <w:rFonts w:hint="eastAsia" w:ascii="宋体" w:hAnsi="宋体"/>
          <w:sz w:val="24"/>
        </w:rPr>
        <w:t>高效卧式气液分离器，型号LGT-1300Wn，外壳碳钢，内壳体、结构件、分离功能元件都由</w:t>
      </w:r>
      <w:r>
        <w:rPr>
          <w:rFonts w:ascii="宋体" w:hAnsi="宋体"/>
          <w:sz w:val="24"/>
        </w:rPr>
        <w:t>304</w:t>
      </w:r>
      <w:r>
        <w:rPr>
          <w:rFonts w:hint="eastAsia" w:ascii="宋体" w:hAnsi="宋体"/>
          <w:sz w:val="24"/>
        </w:rPr>
        <w:t>不锈钢精细加工制造。设计流量和冷却后温度下，气液分离效率达到</w:t>
      </w:r>
      <w:r>
        <w:rPr>
          <w:rFonts w:ascii="宋体" w:hAnsi="宋体"/>
          <w:sz w:val="24"/>
        </w:rPr>
        <w:t>95%</w:t>
      </w:r>
      <w:r>
        <w:rPr>
          <w:rFonts w:hint="eastAsia" w:ascii="宋体" w:hAnsi="宋体"/>
          <w:sz w:val="24"/>
        </w:rPr>
        <w:t>～</w:t>
      </w:r>
      <w:r>
        <w:rPr>
          <w:rFonts w:ascii="宋体" w:hAnsi="宋体"/>
          <w:sz w:val="24"/>
        </w:rPr>
        <w:t>99.99%</w:t>
      </w:r>
      <w:r>
        <w:rPr>
          <w:rFonts w:hint="eastAsia" w:ascii="宋体" w:hAnsi="宋体"/>
          <w:sz w:val="24"/>
        </w:rPr>
        <w:t>，气侧出口空气洁净、无流离水分及其它油污。本设备与后续空气加热器都不需要维护。</w:t>
      </w:r>
    </w:p>
    <w:p w14:paraId="1E0AF606">
      <w:pPr>
        <w:numPr>
          <w:ilvl w:val="0"/>
          <w:numId w:val="1"/>
        </w:numPr>
        <w:spacing w:line="360" w:lineRule="auto"/>
        <w:rPr>
          <w:rFonts w:ascii="宋体" w:hAnsi="宋体"/>
          <w:sz w:val="24"/>
        </w:rPr>
      </w:pPr>
      <w:r>
        <w:rPr>
          <w:rFonts w:hint="eastAsia" w:ascii="宋体" w:hAnsi="宋体"/>
          <w:sz w:val="24"/>
        </w:rPr>
        <w:t>空气加热器，型号</w:t>
      </w:r>
      <w:r>
        <w:rPr>
          <w:rFonts w:ascii="宋体" w:hAnsi="宋体"/>
          <w:sz w:val="24"/>
        </w:rPr>
        <w:t>KR-</w:t>
      </w:r>
      <w:r>
        <w:rPr>
          <w:rFonts w:hint="eastAsia" w:ascii="宋体" w:hAnsi="宋体"/>
          <w:sz w:val="24"/>
        </w:rPr>
        <w:t>1300Lv。材质：外壳碳钢、内部结构件为</w:t>
      </w:r>
      <w:r>
        <w:rPr>
          <w:rFonts w:ascii="宋体" w:hAnsi="宋体"/>
          <w:sz w:val="24"/>
        </w:rPr>
        <w:t>304</w:t>
      </w:r>
      <w:r>
        <w:rPr>
          <w:rFonts w:hint="eastAsia" w:ascii="宋体" w:hAnsi="宋体"/>
          <w:sz w:val="24"/>
        </w:rPr>
        <w:t>不锈钢，换热元件为全铝板翅换热件。本设备与前述所有设备同在一个压力容器壳体内，共享支座，支座材料碳钢。加热器气气换热，热侧是系统进口热空气本身。</w:t>
      </w:r>
    </w:p>
    <w:p w14:paraId="258CF436">
      <w:pPr>
        <w:numPr>
          <w:ilvl w:val="0"/>
          <w:numId w:val="1"/>
        </w:numPr>
        <w:spacing w:line="360" w:lineRule="auto"/>
        <w:rPr>
          <w:rFonts w:ascii="宋体" w:hAnsi="宋体"/>
          <w:sz w:val="24"/>
        </w:rPr>
      </w:pPr>
      <w:r>
        <w:rPr>
          <w:rFonts w:hint="eastAsia" w:ascii="宋体" w:hAnsi="宋体"/>
          <w:sz w:val="24"/>
        </w:rPr>
        <w:t>介质及技术要求如下（验收依据）：</w:t>
      </w:r>
    </w:p>
    <w:tbl>
      <w:tblPr>
        <w:tblStyle w:val="7"/>
        <w:tblW w:w="832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1"/>
        <w:gridCol w:w="1260"/>
        <w:gridCol w:w="3984"/>
      </w:tblGrid>
      <w:tr w14:paraId="5828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1" w:type="dxa"/>
          </w:tcPr>
          <w:p w14:paraId="2B817FA7">
            <w:pPr>
              <w:spacing w:line="300" w:lineRule="auto"/>
              <w:jc w:val="center"/>
              <w:rPr>
                <w:rFonts w:ascii="宋体" w:hAnsi="宋体"/>
                <w:szCs w:val="21"/>
              </w:rPr>
            </w:pPr>
            <w:r>
              <w:rPr>
                <w:rFonts w:hint="eastAsia" w:ascii="宋体" w:hAnsi="宋体"/>
                <w:szCs w:val="21"/>
              </w:rPr>
              <w:t>项目</w:t>
            </w:r>
          </w:p>
        </w:tc>
        <w:tc>
          <w:tcPr>
            <w:tcW w:w="1260" w:type="dxa"/>
          </w:tcPr>
          <w:p w14:paraId="220B00D0">
            <w:pPr>
              <w:spacing w:line="300" w:lineRule="auto"/>
              <w:jc w:val="center"/>
              <w:rPr>
                <w:rFonts w:ascii="宋体" w:hAnsi="宋体"/>
                <w:szCs w:val="21"/>
              </w:rPr>
            </w:pPr>
            <w:r>
              <w:rPr>
                <w:rFonts w:hint="eastAsia" w:ascii="宋体" w:hAnsi="宋体"/>
                <w:szCs w:val="21"/>
              </w:rPr>
              <w:t>指标</w:t>
            </w:r>
          </w:p>
        </w:tc>
        <w:tc>
          <w:tcPr>
            <w:tcW w:w="3984" w:type="dxa"/>
          </w:tcPr>
          <w:p w14:paraId="1B2AE88F">
            <w:pPr>
              <w:tabs>
                <w:tab w:val="left" w:pos="1200"/>
              </w:tabs>
              <w:spacing w:line="300" w:lineRule="auto"/>
              <w:jc w:val="center"/>
              <w:rPr>
                <w:rFonts w:ascii="宋体" w:hAnsi="宋体"/>
                <w:szCs w:val="21"/>
              </w:rPr>
            </w:pPr>
            <w:r>
              <w:rPr>
                <w:rFonts w:hint="eastAsia" w:ascii="宋体" w:hAnsi="宋体"/>
                <w:szCs w:val="21"/>
              </w:rPr>
              <w:t>备注</w:t>
            </w:r>
          </w:p>
        </w:tc>
      </w:tr>
      <w:tr w14:paraId="0D5E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081" w:type="dxa"/>
            <w:vAlign w:val="center"/>
          </w:tcPr>
          <w:p w14:paraId="208C95D8">
            <w:pPr>
              <w:spacing w:line="300" w:lineRule="auto"/>
              <w:ind w:left="105" w:hanging="105" w:hangingChars="50"/>
              <w:rPr>
                <w:rFonts w:ascii="宋体" w:hAnsi="宋体"/>
                <w:szCs w:val="21"/>
              </w:rPr>
            </w:pPr>
            <w:r>
              <w:rPr>
                <w:rFonts w:hint="eastAsia" w:ascii="宋体" w:hAnsi="宋体"/>
                <w:szCs w:val="21"/>
              </w:rPr>
              <w:t>系统进口空气温度         ℃</w:t>
            </w:r>
          </w:p>
        </w:tc>
        <w:tc>
          <w:tcPr>
            <w:tcW w:w="1260" w:type="dxa"/>
            <w:vAlign w:val="center"/>
          </w:tcPr>
          <w:p w14:paraId="4C5D308C">
            <w:pPr>
              <w:spacing w:line="300" w:lineRule="auto"/>
              <w:jc w:val="center"/>
              <w:rPr>
                <w:rFonts w:ascii="宋体" w:hAnsi="宋体"/>
                <w:szCs w:val="21"/>
              </w:rPr>
            </w:pPr>
            <w:r>
              <w:rPr>
                <w:rFonts w:hint="eastAsia" w:ascii="宋体" w:hAnsi="宋体"/>
                <w:szCs w:val="21"/>
              </w:rPr>
              <w:t>90～120</w:t>
            </w:r>
          </w:p>
        </w:tc>
        <w:tc>
          <w:tcPr>
            <w:tcW w:w="3984" w:type="dxa"/>
            <w:vAlign w:val="center"/>
          </w:tcPr>
          <w:p w14:paraId="2E1C43BA">
            <w:pPr>
              <w:spacing w:line="300" w:lineRule="auto"/>
              <w:jc w:val="left"/>
              <w:rPr>
                <w:rFonts w:ascii="宋体" w:hAnsi="宋体"/>
                <w:szCs w:val="21"/>
              </w:rPr>
            </w:pPr>
            <w:r>
              <w:rPr>
                <w:rFonts w:hint="eastAsia" w:ascii="宋体" w:hAnsi="宋体"/>
                <w:szCs w:val="21"/>
              </w:rPr>
              <w:t>附图加热器管程进口测点T1</w:t>
            </w:r>
          </w:p>
        </w:tc>
      </w:tr>
      <w:tr w14:paraId="47739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081" w:type="dxa"/>
            <w:vAlign w:val="center"/>
          </w:tcPr>
          <w:p w14:paraId="0FB843D7">
            <w:pPr>
              <w:spacing w:line="300" w:lineRule="auto"/>
              <w:rPr>
                <w:rFonts w:ascii="宋体" w:hAnsi="宋体"/>
                <w:szCs w:val="21"/>
              </w:rPr>
            </w:pPr>
            <w:r>
              <w:rPr>
                <w:rFonts w:hint="eastAsia" w:ascii="宋体" w:hAnsi="宋体"/>
                <w:szCs w:val="21"/>
              </w:rPr>
              <w:t>空气进口流量</w:t>
            </w:r>
            <w:r>
              <w:rPr>
                <w:rFonts w:ascii="宋体" w:hAnsi="宋体"/>
                <w:szCs w:val="21"/>
              </w:rPr>
              <w:t xml:space="preserve">        Nm</w:t>
            </w:r>
            <w:r>
              <w:rPr>
                <w:rFonts w:ascii="宋体" w:hAnsi="宋体"/>
                <w:szCs w:val="21"/>
                <w:vertAlign w:val="superscript"/>
              </w:rPr>
              <w:t>3</w:t>
            </w:r>
            <w:r>
              <w:rPr>
                <w:rFonts w:ascii="宋体" w:hAnsi="宋体"/>
                <w:szCs w:val="21"/>
              </w:rPr>
              <w:t>/min</w:t>
            </w:r>
          </w:p>
        </w:tc>
        <w:tc>
          <w:tcPr>
            <w:tcW w:w="1260" w:type="dxa"/>
            <w:vAlign w:val="center"/>
          </w:tcPr>
          <w:p w14:paraId="2B0F5876">
            <w:pPr>
              <w:spacing w:line="300" w:lineRule="auto"/>
              <w:jc w:val="center"/>
              <w:rPr>
                <w:rFonts w:ascii="宋体" w:hAnsi="宋体"/>
                <w:b/>
                <w:szCs w:val="21"/>
              </w:rPr>
            </w:pPr>
            <w:r>
              <w:rPr>
                <w:rFonts w:hint="eastAsia" w:ascii="宋体" w:hAnsi="宋体"/>
                <w:szCs w:val="21"/>
              </w:rPr>
              <w:t>≤1300</w:t>
            </w:r>
          </w:p>
        </w:tc>
        <w:tc>
          <w:tcPr>
            <w:tcW w:w="3984" w:type="dxa"/>
            <w:vAlign w:val="center"/>
          </w:tcPr>
          <w:p w14:paraId="06C17A0B">
            <w:pPr>
              <w:spacing w:line="300" w:lineRule="auto"/>
              <w:jc w:val="left"/>
              <w:rPr>
                <w:rFonts w:ascii="宋体" w:hAnsi="宋体"/>
                <w:szCs w:val="21"/>
              </w:rPr>
            </w:pPr>
            <w:r>
              <w:rPr>
                <w:rFonts w:hint="eastAsia" w:ascii="宋体" w:hAnsi="宋体"/>
                <w:szCs w:val="21"/>
              </w:rPr>
              <w:t>标准状况：</w:t>
            </w:r>
            <w:r>
              <w:rPr>
                <w:rFonts w:ascii="宋体" w:hAnsi="宋体"/>
                <w:szCs w:val="21"/>
              </w:rPr>
              <w:t>0</w:t>
            </w:r>
            <w:r>
              <w:rPr>
                <w:rFonts w:hint="eastAsia" w:ascii="宋体" w:hAnsi="宋体"/>
                <w:szCs w:val="21"/>
              </w:rPr>
              <w:t>℃，</w:t>
            </w:r>
            <w:r>
              <w:rPr>
                <w:rFonts w:ascii="宋体" w:hAnsi="宋体"/>
                <w:szCs w:val="21"/>
              </w:rPr>
              <w:t>0.1MPa(</w:t>
            </w:r>
            <w:r>
              <w:rPr>
                <w:rFonts w:hint="eastAsia" w:ascii="宋体" w:hAnsi="宋体"/>
                <w:szCs w:val="21"/>
              </w:rPr>
              <w:t>绝压</w:t>
            </w:r>
            <w:r>
              <w:rPr>
                <w:rFonts w:ascii="宋体" w:hAnsi="宋体"/>
                <w:szCs w:val="21"/>
              </w:rPr>
              <w:t>)</w:t>
            </w:r>
          </w:p>
        </w:tc>
      </w:tr>
      <w:tr w14:paraId="7D7D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1" w:type="dxa"/>
            <w:vAlign w:val="center"/>
          </w:tcPr>
          <w:p w14:paraId="39586BB8">
            <w:pPr>
              <w:spacing w:line="300" w:lineRule="auto"/>
              <w:rPr>
                <w:rFonts w:ascii="宋体" w:hAnsi="宋体"/>
                <w:szCs w:val="21"/>
              </w:rPr>
            </w:pPr>
            <w:r>
              <w:rPr>
                <w:rFonts w:hint="eastAsia" w:ascii="宋体" w:hAnsi="宋体"/>
                <w:szCs w:val="21"/>
              </w:rPr>
              <w:t>热水进口温度             ℃</w:t>
            </w:r>
          </w:p>
        </w:tc>
        <w:tc>
          <w:tcPr>
            <w:tcW w:w="1260" w:type="dxa"/>
            <w:vAlign w:val="center"/>
          </w:tcPr>
          <w:p w14:paraId="10294518">
            <w:pPr>
              <w:spacing w:line="300" w:lineRule="auto"/>
              <w:jc w:val="center"/>
              <w:rPr>
                <w:rFonts w:ascii="宋体" w:hAnsi="宋体"/>
                <w:szCs w:val="21"/>
              </w:rPr>
            </w:pPr>
            <w:r>
              <w:rPr>
                <w:rFonts w:hint="eastAsia" w:ascii="宋体" w:hAnsi="宋体"/>
                <w:szCs w:val="21"/>
              </w:rPr>
              <w:t>35</w:t>
            </w:r>
          </w:p>
        </w:tc>
        <w:tc>
          <w:tcPr>
            <w:tcW w:w="3984" w:type="dxa"/>
            <w:vAlign w:val="center"/>
          </w:tcPr>
          <w:p w14:paraId="1A4C55A1">
            <w:pPr>
              <w:jc w:val="left"/>
              <w:rPr>
                <w:rFonts w:ascii="宋体" w:hAnsi="宋体"/>
                <w:szCs w:val="21"/>
              </w:rPr>
            </w:pPr>
          </w:p>
        </w:tc>
      </w:tr>
      <w:tr w14:paraId="4422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1" w:type="dxa"/>
            <w:vAlign w:val="center"/>
          </w:tcPr>
          <w:p w14:paraId="5D1DDC2C">
            <w:pPr>
              <w:spacing w:line="300" w:lineRule="auto"/>
              <w:rPr>
                <w:rFonts w:ascii="宋体" w:hAnsi="宋体"/>
                <w:szCs w:val="21"/>
              </w:rPr>
            </w:pPr>
            <w:r>
              <w:rPr>
                <w:rFonts w:hint="eastAsia" w:ascii="宋体" w:hAnsi="宋体"/>
                <w:szCs w:val="21"/>
              </w:rPr>
              <w:t xml:space="preserve">热水出口温度 </w:t>
            </w:r>
            <w:r>
              <w:rPr>
                <w:rFonts w:ascii="宋体" w:hAnsi="宋体"/>
                <w:szCs w:val="21"/>
              </w:rPr>
              <w:t xml:space="preserve">            </w:t>
            </w:r>
            <w:r>
              <w:rPr>
                <w:rFonts w:hint="eastAsia" w:ascii="宋体" w:hAnsi="宋体"/>
                <w:szCs w:val="21"/>
              </w:rPr>
              <w:t>℃</w:t>
            </w:r>
          </w:p>
        </w:tc>
        <w:tc>
          <w:tcPr>
            <w:tcW w:w="1260" w:type="dxa"/>
            <w:vAlign w:val="center"/>
          </w:tcPr>
          <w:p w14:paraId="5D947919">
            <w:pPr>
              <w:spacing w:line="300" w:lineRule="auto"/>
              <w:jc w:val="center"/>
              <w:rPr>
                <w:rFonts w:ascii="宋体" w:hAnsi="宋体"/>
                <w:szCs w:val="21"/>
              </w:rPr>
            </w:pPr>
            <w:r>
              <w:rPr>
                <w:rFonts w:hint="eastAsia" w:ascii="宋体" w:hAnsi="宋体"/>
                <w:szCs w:val="21"/>
              </w:rPr>
              <w:t>48～73</w:t>
            </w:r>
          </w:p>
        </w:tc>
        <w:tc>
          <w:tcPr>
            <w:tcW w:w="3984" w:type="dxa"/>
            <w:vAlign w:val="center"/>
          </w:tcPr>
          <w:p w14:paraId="23F68A40">
            <w:pPr>
              <w:jc w:val="left"/>
              <w:rPr>
                <w:rFonts w:ascii="宋体" w:hAnsi="宋体"/>
                <w:szCs w:val="21"/>
              </w:rPr>
            </w:pPr>
          </w:p>
        </w:tc>
      </w:tr>
      <w:tr w14:paraId="3FAE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1" w:type="dxa"/>
            <w:vAlign w:val="center"/>
          </w:tcPr>
          <w:p w14:paraId="7CCAF286">
            <w:pPr>
              <w:spacing w:line="300" w:lineRule="auto"/>
              <w:rPr>
                <w:rFonts w:ascii="宋体" w:hAnsi="宋体"/>
                <w:szCs w:val="21"/>
              </w:rPr>
            </w:pPr>
            <w:r>
              <w:rPr>
                <w:rFonts w:hint="eastAsia" w:ascii="宋体" w:hAnsi="宋体"/>
                <w:szCs w:val="21"/>
              </w:rPr>
              <w:t>热水流量                t/h</w:t>
            </w:r>
          </w:p>
        </w:tc>
        <w:tc>
          <w:tcPr>
            <w:tcW w:w="1260" w:type="dxa"/>
            <w:vAlign w:val="center"/>
          </w:tcPr>
          <w:p w14:paraId="10C70747">
            <w:pPr>
              <w:spacing w:line="300" w:lineRule="auto"/>
              <w:jc w:val="center"/>
              <w:rPr>
                <w:rFonts w:ascii="宋体" w:hAnsi="宋体"/>
                <w:szCs w:val="21"/>
              </w:rPr>
            </w:pPr>
            <w:r>
              <w:rPr>
                <w:rFonts w:hint="eastAsia" w:ascii="宋体" w:hAnsi="宋体"/>
                <w:szCs w:val="21"/>
              </w:rPr>
              <w:t>≤21</w:t>
            </w:r>
          </w:p>
        </w:tc>
        <w:tc>
          <w:tcPr>
            <w:tcW w:w="3984" w:type="dxa"/>
            <w:vAlign w:val="center"/>
          </w:tcPr>
          <w:p w14:paraId="3E6EE75D">
            <w:pPr>
              <w:jc w:val="left"/>
              <w:rPr>
                <w:rFonts w:ascii="宋体" w:hAnsi="宋体"/>
                <w:szCs w:val="21"/>
              </w:rPr>
            </w:pPr>
          </w:p>
        </w:tc>
      </w:tr>
      <w:tr w14:paraId="233D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81" w:type="dxa"/>
            <w:vAlign w:val="center"/>
          </w:tcPr>
          <w:p w14:paraId="2D20469E">
            <w:pPr>
              <w:spacing w:line="300" w:lineRule="auto"/>
              <w:rPr>
                <w:rFonts w:ascii="宋体" w:hAnsi="宋体"/>
                <w:szCs w:val="21"/>
              </w:rPr>
            </w:pPr>
            <w:r>
              <w:rPr>
                <w:rFonts w:hint="eastAsia" w:ascii="宋体" w:hAnsi="宋体"/>
                <w:szCs w:val="21"/>
              </w:rPr>
              <w:t xml:space="preserve">循环水进口温度 </w:t>
            </w:r>
            <w:r>
              <w:rPr>
                <w:rFonts w:ascii="宋体" w:hAnsi="宋体"/>
                <w:szCs w:val="21"/>
              </w:rPr>
              <w:t xml:space="preserve">          </w:t>
            </w:r>
            <w:r>
              <w:rPr>
                <w:rFonts w:hint="eastAsia" w:ascii="宋体" w:hAnsi="宋体"/>
                <w:szCs w:val="21"/>
              </w:rPr>
              <w:t>℃</w:t>
            </w:r>
          </w:p>
        </w:tc>
        <w:tc>
          <w:tcPr>
            <w:tcW w:w="1260" w:type="dxa"/>
            <w:vAlign w:val="center"/>
          </w:tcPr>
          <w:p w14:paraId="4A41DCBC">
            <w:pPr>
              <w:spacing w:line="300" w:lineRule="auto"/>
              <w:jc w:val="center"/>
              <w:rPr>
                <w:rFonts w:ascii="宋体" w:hAnsi="宋体"/>
                <w:szCs w:val="21"/>
              </w:rPr>
            </w:pPr>
            <w:r>
              <w:rPr>
                <w:rFonts w:hint="eastAsia" w:ascii="宋体" w:hAnsi="宋体"/>
                <w:szCs w:val="21"/>
              </w:rPr>
              <w:t>≤32</w:t>
            </w:r>
          </w:p>
        </w:tc>
        <w:tc>
          <w:tcPr>
            <w:tcW w:w="3984" w:type="dxa"/>
            <w:vMerge w:val="restart"/>
            <w:vAlign w:val="center"/>
          </w:tcPr>
          <w:p w14:paraId="5BBE011F">
            <w:pPr>
              <w:jc w:val="left"/>
              <w:rPr>
                <w:rFonts w:ascii="宋体" w:hAnsi="宋体"/>
                <w:szCs w:val="21"/>
              </w:rPr>
            </w:pPr>
            <w:r>
              <w:rPr>
                <w:rFonts w:hint="eastAsia" w:ascii="宋体" w:hAnsi="宋体"/>
                <w:szCs w:val="21"/>
              </w:rPr>
              <w:t>水进出温差</w:t>
            </w:r>
            <w:r>
              <w:rPr>
                <w:rFonts w:ascii="宋体" w:hAnsi="宋体"/>
                <w:szCs w:val="21"/>
              </w:rPr>
              <w:t xml:space="preserve">5 </w:t>
            </w:r>
            <w:r>
              <w:rPr>
                <w:rFonts w:hint="eastAsia" w:ascii="宋体" w:hAnsi="宋体"/>
                <w:szCs w:val="21"/>
              </w:rPr>
              <w:t>℃，供水压力最高0.35</w:t>
            </w:r>
            <w:r>
              <w:rPr>
                <w:rFonts w:ascii="宋体" w:hAnsi="宋体"/>
                <w:szCs w:val="21"/>
              </w:rPr>
              <w:t>MPa.</w:t>
            </w:r>
          </w:p>
        </w:tc>
      </w:tr>
      <w:tr w14:paraId="50B5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81" w:type="dxa"/>
            <w:vAlign w:val="center"/>
          </w:tcPr>
          <w:p w14:paraId="17DB3B7D">
            <w:pPr>
              <w:spacing w:line="300" w:lineRule="auto"/>
              <w:rPr>
                <w:rFonts w:ascii="宋体" w:hAnsi="宋体"/>
                <w:szCs w:val="21"/>
              </w:rPr>
            </w:pPr>
            <w:r>
              <w:rPr>
                <w:rFonts w:hint="eastAsia" w:ascii="宋体" w:hAnsi="宋体"/>
                <w:szCs w:val="21"/>
              </w:rPr>
              <w:t>低温水进口温度           ℃</w:t>
            </w:r>
          </w:p>
        </w:tc>
        <w:tc>
          <w:tcPr>
            <w:tcW w:w="1260" w:type="dxa"/>
            <w:vAlign w:val="center"/>
          </w:tcPr>
          <w:p w14:paraId="5085F6D6">
            <w:pPr>
              <w:spacing w:line="300" w:lineRule="auto"/>
              <w:jc w:val="center"/>
              <w:rPr>
                <w:rFonts w:ascii="宋体" w:hAnsi="宋体"/>
                <w:szCs w:val="21"/>
              </w:rPr>
            </w:pPr>
            <w:r>
              <w:rPr>
                <w:rFonts w:hint="eastAsia" w:ascii="宋体" w:hAnsi="宋体"/>
                <w:szCs w:val="21"/>
              </w:rPr>
              <w:t>≤9</w:t>
            </w:r>
          </w:p>
        </w:tc>
        <w:tc>
          <w:tcPr>
            <w:tcW w:w="3984" w:type="dxa"/>
            <w:vMerge w:val="continue"/>
            <w:vAlign w:val="center"/>
          </w:tcPr>
          <w:p w14:paraId="3E5B5412">
            <w:pPr>
              <w:jc w:val="left"/>
              <w:rPr>
                <w:rFonts w:ascii="宋体" w:hAnsi="宋体"/>
                <w:szCs w:val="21"/>
              </w:rPr>
            </w:pPr>
          </w:p>
        </w:tc>
      </w:tr>
      <w:tr w14:paraId="121B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81" w:type="dxa"/>
            <w:vAlign w:val="center"/>
          </w:tcPr>
          <w:p w14:paraId="4E813C8E">
            <w:pPr>
              <w:spacing w:line="300" w:lineRule="auto"/>
              <w:rPr>
                <w:rFonts w:ascii="宋体" w:hAnsi="宋体"/>
                <w:szCs w:val="21"/>
              </w:rPr>
            </w:pPr>
            <w:r>
              <w:rPr>
                <w:rFonts w:hint="eastAsia" w:ascii="宋体" w:hAnsi="宋体"/>
                <w:szCs w:val="21"/>
              </w:rPr>
              <w:t>冷却器出口空气温度       ℃</w:t>
            </w:r>
          </w:p>
        </w:tc>
        <w:tc>
          <w:tcPr>
            <w:tcW w:w="1260" w:type="dxa"/>
            <w:vAlign w:val="center"/>
          </w:tcPr>
          <w:p w14:paraId="4EFCEFE6">
            <w:pPr>
              <w:spacing w:line="300" w:lineRule="auto"/>
              <w:jc w:val="center"/>
              <w:rPr>
                <w:rFonts w:ascii="宋体" w:hAnsi="宋体"/>
                <w:szCs w:val="21"/>
              </w:rPr>
            </w:pPr>
            <w:r>
              <w:rPr>
                <w:rFonts w:hint="eastAsia" w:ascii="宋体" w:hAnsi="宋体"/>
                <w:szCs w:val="21"/>
              </w:rPr>
              <w:t>≤25</w:t>
            </w:r>
          </w:p>
        </w:tc>
        <w:tc>
          <w:tcPr>
            <w:tcW w:w="3984" w:type="dxa"/>
            <w:vAlign w:val="center"/>
          </w:tcPr>
          <w:p w14:paraId="588C1C00">
            <w:pPr>
              <w:spacing w:line="300" w:lineRule="auto"/>
              <w:jc w:val="left"/>
              <w:rPr>
                <w:szCs w:val="21"/>
              </w:rPr>
            </w:pPr>
            <w:r>
              <w:rPr>
                <w:rFonts w:hint="eastAsia"/>
                <w:szCs w:val="21"/>
              </w:rPr>
              <w:t>附图T3。与冷却水流量、温度关联</w:t>
            </w:r>
          </w:p>
        </w:tc>
      </w:tr>
      <w:tr w14:paraId="76BC8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81" w:type="dxa"/>
            <w:vAlign w:val="center"/>
          </w:tcPr>
          <w:p w14:paraId="34485D6C">
            <w:pPr>
              <w:spacing w:line="300" w:lineRule="auto"/>
              <w:rPr>
                <w:rFonts w:ascii="宋体"/>
                <w:szCs w:val="21"/>
              </w:rPr>
            </w:pPr>
            <w:r>
              <w:rPr>
                <w:rFonts w:hint="eastAsia" w:ascii="宋体" w:hAnsi="宋体"/>
                <w:szCs w:val="21"/>
              </w:rPr>
              <w:t>加热器出口空气温度       ℃</w:t>
            </w:r>
          </w:p>
        </w:tc>
        <w:tc>
          <w:tcPr>
            <w:tcW w:w="1260" w:type="dxa"/>
            <w:vAlign w:val="center"/>
          </w:tcPr>
          <w:p w14:paraId="5734C2DD">
            <w:pPr>
              <w:spacing w:line="300" w:lineRule="auto"/>
              <w:jc w:val="center"/>
              <w:rPr>
                <w:rFonts w:ascii="宋体"/>
                <w:szCs w:val="21"/>
              </w:rPr>
            </w:pPr>
            <w:r>
              <w:rPr>
                <w:rFonts w:hint="eastAsia" w:ascii="宋体" w:hAnsi="宋体"/>
                <w:szCs w:val="21"/>
              </w:rPr>
              <w:t>50</w:t>
            </w:r>
          </w:p>
        </w:tc>
        <w:tc>
          <w:tcPr>
            <w:tcW w:w="3984" w:type="dxa"/>
            <w:vAlign w:val="center"/>
          </w:tcPr>
          <w:p w14:paraId="1E246ED4">
            <w:pPr>
              <w:spacing w:line="300" w:lineRule="auto"/>
              <w:jc w:val="left"/>
              <w:rPr>
                <w:rFonts w:ascii="宋体"/>
                <w:szCs w:val="21"/>
              </w:rPr>
            </w:pPr>
            <w:r>
              <w:rPr>
                <w:rFonts w:hint="eastAsia" w:ascii="宋体" w:hAnsi="宋体"/>
                <w:szCs w:val="21"/>
              </w:rPr>
              <w:t>附图T2，仅要求对析水后湿空气加热。</w:t>
            </w:r>
          </w:p>
        </w:tc>
      </w:tr>
      <w:tr w14:paraId="375C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81" w:type="dxa"/>
            <w:vAlign w:val="center"/>
          </w:tcPr>
          <w:p w14:paraId="3A7994CF">
            <w:pPr>
              <w:spacing w:line="300" w:lineRule="auto"/>
              <w:rPr>
                <w:rFonts w:ascii="宋体" w:hAnsi="宋体"/>
                <w:szCs w:val="21"/>
              </w:rPr>
            </w:pPr>
            <w:r>
              <w:rPr>
                <w:rFonts w:hint="eastAsia" w:ascii="宋体" w:hAnsi="宋体"/>
                <w:szCs w:val="21"/>
              </w:rPr>
              <w:t>加热器出口空气相对湿度    %</w:t>
            </w:r>
          </w:p>
        </w:tc>
        <w:tc>
          <w:tcPr>
            <w:tcW w:w="1260" w:type="dxa"/>
            <w:vAlign w:val="center"/>
          </w:tcPr>
          <w:p w14:paraId="654EAD60">
            <w:pPr>
              <w:spacing w:line="300" w:lineRule="auto"/>
              <w:jc w:val="center"/>
              <w:rPr>
                <w:rFonts w:ascii="宋体" w:hAnsi="宋体"/>
                <w:szCs w:val="21"/>
              </w:rPr>
            </w:pPr>
            <w:r>
              <w:rPr>
                <w:rFonts w:hint="eastAsia" w:ascii="宋体" w:hAnsi="宋体"/>
                <w:szCs w:val="21"/>
              </w:rPr>
              <w:t>≤30</w:t>
            </w:r>
          </w:p>
        </w:tc>
        <w:tc>
          <w:tcPr>
            <w:tcW w:w="3984" w:type="dxa"/>
            <w:vAlign w:val="center"/>
          </w:tcPr>
          <w:p w14:paraId="165E3676">
            <w:pPr>
              <w:spacing w:line="300" w:lineRule="auto"/>
              <w:jc w:val="left"/>
              <w:rPr>
                <w:rFonts w:ascii="宋体" w:hAnsi="宋体"/>
                <w:szCs w:val="21"/>
              </w:rPr>
            </w:pPr>
            <w:r>
              <w:rPr>
                <w:rFonts w:hint="eastAsia" w:ascii="宋体" w:hAnsi="宋体"/>
                <w:szCs w:val="21"/>
              </w:rPr>
              <w:t>附图加热器出口位置，符号RH</w:t>
            </w:r>
          </w:p>
        </w:tc>
      </w:tr>
      <w:tr w14:paraId="7A5AA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trPr>
        <w:tc>
          <w:tcPr>
            <w:tcW w:w="3081" w:type="dxa"/>
            <w:vAlign w:val="center"/>
          </w:tcPr>
          <w:p w14:paraId="607776C7">
            <w:pPr>
              <w:spacing w:line="300" w:lineRule="auto"/>
              <w:rPr>
                <w:rFonts w:ascii="宋体"/>
                <w:szCs w:val="21"/>
              </w:rPr>
            </w:pPr>
            <w:r>
              <w:rPr>
                <w:rFonts w:hint="eastAsia" w:ascii="宋体" w:hAnsi="宋体"/>
                <w:szCs w:val="21"/>
              </w:rPr>
              <w:t>空气压力损失            k</w:t>
            </w:r>
            <w:r>
              <w:rPr>
                <w:rFonts w:ascii="宋体" w:hAnsi="宋体"/>
                <w:szCs w:val="21"/>
              </w:rPr>
              <w:t>Pa</w:t>
            </w:r>
          </w:p>
        </w:tc>
        <w:tc>
          <w:tcPr>
            <w:tcW w:w="1260" w:type="dxa"/>
            <w:vAlign w:val="center"/>
          </w:tcPr>
          <w:p w14:paraId="621488C8">
            <w:pPr>
              <w:spacing w:line="300" w:lineRule="auto"/>
              <w:jc w:val="center"/>
              <w:rPr>
                <w:rFonts w:ascii="宋体"/>
                <w:b/>
                <w:szCs w:val="21"/>
              </w:rPr>
            </w:pPr>
            <w:r>
              <w:rPr>
                <w:rFonts w:hint="eastAsia" w:ascii="宋体" w:hAnsi="宋体"/>
                <w:szCs w:val="21"/>
              </w:rPr>
              <w:t>≤5</w:t>
            </w:r>
          </w:p>
        </w:tc>
        <w:tc>
          <w:tcPr>
            <w:tcW w:w="3984" w:type="dxa"/>
            <w:vAlign w:val="center"/>
          </w:tcPr>
          <w:p w14:paraId="48D04E5A">
            <w:pPr>
              <w:jc w:val="left"/>
              <w:rPr>
                <w:rFonts w:ascii="宋体"/>
                <w:szCs w:val="21"/>
              </w:rPr>
            </w:pPr>
            <w:r>
              <w:rPr>
                <w:rFonts w:hint="eastAsia" w:ascii="宋体" w:hAnsi="宋体"/>
                <w:szCs w:val="21"/>
              </w:rPr>
              <w:t>按附图P1、P2测点差值计，按附图管道方案。</w:t>
            </w:r>
          </w:p>
        </w:tc>
      </w:tr>
    </w:tbl>
    <w:p w14:paraId="0326DA9E">
      <w:pPr>
        <w:numPr>
          <w:ilvl w:val="0"/>
          <w:numId w:val="1"/>
        </w:numPr>
        <w:spacing w:line="360" w:lineRule="auto"/>
        <w:rPr>
          <w:rFonts w:ascii="宋体" w:hAnsi="宋体"/>
          <w:sz w:val="24"/>
        </w:rPr>
      </w:pPr>
      <w:r>
        <w:rPr>
          <w:rFonts w:hint="eastAsia" w:ascii="宋体" w:hAnsi="宋体"/>
          <w:sz w:val="24"/>
        </w:rPr>
        <w:t>冷却水条件</w:t>
      </w:r>
    </w:p>
    <w:p w14:paraId="049D9DF8">
      <w:pPr>
        <w:spacing w:line="360" w:lineRule="auto"/>
        <w:ind w:left="360" w:firstLine="468"/>
        <w:rPr>
          <w:sz w:val="24"/>
        </w:rPr>
      </w:pPr>
      <w:r>
        <w:rPr>
          <w:rFonts w:hint="eastAsia"/>
          <w:sz w:val="24"/>
        </w:rPr>
        <w:t>按上款“第7条”参数条件，夏季循环水流量100t</w:t>
      </w:r>
      <w:r>
        <w:rPr>
          <w:sz w:val="24"/>
        </w:rPr>
        <w:t>/</w:t>
      </w:r>
      <w:r>
        <w:rPr>
          <w:rFonts w:hint="eastAsia"/>
          <w:sz w:val="24"/>
        </w:rPr>
        <w:t>h，管道接口D</w:t>
      </w:r>
      <w:r>
        <w:rPr>
          <w:sz w:val="24"/>
        </w:rPr>
        <w:t>N125（</w:t>
      </w:r>
      <w:r>
        <w:rPr>
          <w:rFonts w:hint="eastAsia"/>
          <w:sz w:val="24"/>
        </w:rPr>
        <w:t>如果系统进口空气温度超过120</w:t>
      </w:r>
      <w:r>
        <w:rPr>
          <w:rFonts w:hint="eastAsia" w:ascii="宋体" w:hAnsi="宋体"/>
          <w:sz w:val="24"/>
        </w:rPr>
        <w:t>℃或热水热量利用不足，循环水流量还需加大）。</w:t>
      </w:r>
    </w:p>
    <w:p w14:paraId="2DC1D9E9">
      <w:pPr>
        <w:spacing w:line="360" w:lineRule="auto"/>
        <w:ind w:left="360" w:firstLine="468"/>
        <w:rPr>
          <w:sz w:val="24"/>
        </w:rPr>
      </w:pPr>
      <w:r>
        <w:rPr>
          <w:rFonts w:hint="eastAsia"/>
          <w:sz w:val="24"/>
        </w:rPr>
        <w:t>夏季还需要冷冻水冷却，流量200t</w:t>
      </w:r>
      <w:r>
        <w:rPr>
          <w:sz w:val="24"/>
        </w:rPr>
        <w:t>/</w:t>
      </w:r>
      <w:r>
        <w:rPr>
          <w:rFonts w:hint="eastAsia"/>
          <w:sz w:val="24"/>
        </w:rPr>
        <w:t>h</w:t>
      </w:r>
      <w:r>
        <w:rPr>
          <w:sz w:val="24"/>
        </w:rPr>
        <w:t>，</w:t>
      </w:r>
      <w:r>
        <w:rPr>
          <w:rFonts w:hint="eastAsia"/>
          <w:sz w:val="24"/>
        </w:rPr>
        <w:t>管道接口D</w:t>
      </w:r>
      <w:r>
        <w:rPr>
          <w:sz w:val="24"/>
        </w:rPr>
        <w:t>N200。</w:t>
      </w:r>
    </w:p>
    <w:p w14:paraId="00D18D91">
      <w:pPr>
        <w:spacing w:line="360" w:lineRule="auto"/>
        <w:ind w:left="360" w:firstLine="468"/>
        <w:rPr>
          <w:sz w:val="24"/>
        </w:rPr>
      </w:pPr>
      <w:r>
        <w:rPr>
          <w:rFonts w:hint="eastAsia"/>
          <w:sz w:val="24"/>
        </w:rPr>
        <w:t>热水管道和冷冻水管道都须有旁通循环水进出接管，以便切换使用。</w:t>
      </w:r>
    </w:p>
    <w:p w14:paraId="02309450">
      <w:pPr>
        <w:spacing w:line="360" w:lineRule="auto"/>
        <w:ind w:left="360" w:firstLine="480"/>
        <w:rPr>
          <w:rFonts w:ascii="宋体" w:hAnsi="宋体"/>
          <w:sz w:val="24"/>
        </w:rPr>
      </w:pPr>
      <w:r>
        <w:rPr>
          <w:rFonts w:hint="eastAsia"/>
          <w:sz w:val="24"/>
        </w:rPr>
        <w:t>热水采用市政自来水，执行GB5749-2022标准。</w:t>
      </w:r>
      <w:r>
        <w:rPr>
          <w:rFonts w:hint="eastAsia" w:ascii="宋体" w:hAnsi="宋体"/>
          <w:sz w:val="24"/>
        </w:rPr>
        <w:t>冷冻水水质处理按软水或冷水机组标准要求执行。</w:t>
      </w:r>
      <w:r>
        <w:rPr>
          <w:rFonts w:hint="eastAsia"/>
          <w:sz w:val="24"/>
        </w:rPr>
        <w:t>须</w:t>
      </w:r>
      <w:r>
        <w:rPr>
          <w:rFonts w:hint="eastAsia" w:ascii="宋体" w:hAnsi="宋体"/>
          <w:sz w:val="24"/>
        </w:rPr>
        <w:t>控制水质硬度，防止设备运行中因冷却水水质问题快速结垢而影响使用效果。须控制循环水中氯离子含量，按规范做水质处理，如加入缓蚀剂，其它水质指标最低要求按</w:t>
      </w:r>
      <w:r>
        <w:rPr>
          <w:rFonts w:ascii="宋体" w:hAnsi="宋体"/>
          <w:sz w:val="24"/>
        </w:rPr>
        <w:t>GB50050-20</w:t>
      </w:r>
      <w:r>
        <w:rPr>
          <w:rFonts w:hint="eastAsia" w:ascii="宋体" w:hAnsi="宋体"/>
          <w:sz w:val="24"/>
        </w:rPr>
        <w:t>1</w:t>
      </w:r>
      <w:r>
        <w:rPr>
          <w:rFonts w:ascii="宋体" w:hAnsi="宋体"/>
          <w:sz w:val="24"/>
        </w:rPr>
        <w:t>7</w:t>
      </w:r>
      <w:r>
        <w:rPr>
          <w:rFonts w:hint="eastAsia" w:ascii="宋体" w:hAnsi="宋体"/>
          <w:sz w:val="24"/>
        </w:rPr>
        <w:t>《工业循环冷却水处理设计规范》执行，</w:t>
      </w:r>
      <w:r>
        <w:rPr>
          <w:rFonts w:ascii="宋体" w:hAnsi="宋体"/>
          <w:sz w:val="24"/>
        </w:rPr>
        <w:t xml:space="preserve"> </w:t>
      </w:r>
    </w:p>
    <w:p w14:paraId="1CB6655E">
      <w:pPr>
        <w:numPr>
          <w:ilvl w:val="0"/>
          <w:numId w:val="1"/>
        </w:numPr>
        <w:spacing w:line="360" w:lineRule="auto"/>
        <w:rPr>
          <w:rFonts w:ascii="宋体" w:hAnsi="宋体"/>
          <w:sz w:val="24"/>
        </w:rPr>
      </w:pPr>
      <w:r>
        <w:rPr>
          <w:rFonts w:hint="eastAsia" w:ascii="宋体" w:hAnsi="宋体"/>
          <w:sz w:val="24"/>
        </w:rPr>
        <w:t>制热水换热器、空气冷却器均属气水换热，水走管程。管程水箱设计成开口式，有可拆卸盖板，须进行定期清洗。设备底部具有排污接口，使用中须定期排污。</w:t>
      </w:r>
    </w:p>
    <w:p w14:paraId="1C5B997F">
      <w:pPr>
        <w:numPr>
          <w:ilvl w:val="0"/>
          <w:numId w:val="1"/>
        </w:numPr>
        <w:spacing w:line="360" w:lineRule="auto"/>
        <w:rPr>
          <w:rFonts w:ascii="宋体" w:hAnsi="宋体"/>
          <w:sz w:val="24"/>
        </w:rPr>
      </w:pPr>
      <w:r>
        <w:rPr>
          <w:rFonts w:hint="eastAsia" w:ascii="宋体" w:hAnsi="宋体"/>
          <w:sz w:val="24"/>
        </w:rPr>
        <w:t>设备按</w:t>
      </w:r>
      <w:r>
        <w:rPr>
          <w:rFonts w:ascii="宋体" w:hAnsi="宋体"/>
          <w:sz w:val="24"/>
        </w:rPr>
        <w:t>GB150-2011</w:t>
      </w:r>
      <w:r>
        <w:rPr>
          <w:rFonts w:hint="eastAsia" w:ascii="宋体" w:hAnsi="宋体"/>
          <w:sz w:val="24"/>
        </w:rPr>
        <w:t>《钢制压力容器》要求制作，壳体设计压力</w:t>
      </w:r>
      <w:r>
        <w:rPr>
          <w:rFonts w:ascii="宋体" w:hAnsi="宋体"/>
          <w:sz w:val="24"/>
        </w:rPr>
        <w:t>0.</w:t>
      </w:r>
      <w:r>
        <w:rPr>
          <w:rFonts w:hint="eastAsia" w:ascii="宋体" w:hAnsi="宋体"/>
          <w:sz w:val="24"/>
        </w:rPr>
        <w:t>2</w:t>
      </w:r>
      <w:r>
        <w:rPr>
          <w:rFonts w:ascii="宋体" w:hAnsi="宋体"/>
          <w:sz w:val="24"/>
        </w:rPr>
        <w:t>MPa</w:t>
      </w:r>
      <w:r>
        <w:rPr>
          <w:rFonts w:hint="eastAsia" w:ascii="宋体" w:hAnsi="宋体"/>
          <w:sz w:val="24"/>
        </w:rPr>
        <w:t>，并提供压力容器证书、资料和有关图纸。</w:t>
      </w:r>
    </w:p>
    <w:p w14:paraId="011C5184">
      <w:pPr>
        <w:spacing w:line="360" w:lineRule="auto"/>
        <w:ind w:left="360" w:firstLine="480"/>
        <w:rPr>
          <w:rFonts w:ascii="宋体" w:hAnsi="宋体"/>
          <w:sz w:val="24"/>
        </w:rPr>
      </w:pPr>
      <w:r>
        <w:rPr>
          <w:rFonts w:hint="eastAsia" w:ascii="宋体" w:hAnsi="宋体"/>
          <w:sz w:val="24"/>
        </w:rPr>
        <w:t>系统空气进口是内部空气管道焊接口</w:t>
      </w:r>
      <w:r>
        <w:rPr>
          <w:rFonts w:hint="eastAsia" w:ascii="宋体" w:hAnsi="宋体"/>
          <w:b/>
          <w:sz w:val="24"/>
        </w:rPr>
        <w:t>φ1220</w:t>
      </w:r>
      <w:r>
        <w:rPr>
          <w:rFonts w:hint="eastAsia" w:ascii="宋体" w:hAnsi="宋体"/>
          <w:sz w:val="24"/>
        </w:rPr>
        <w:t>，系统空气出口是设备法兰接口</w:t>
      </w:r>
      <w:r>
        <w:rPr>
          <w:rFonts w:hint="eastAsia" w:ascii="宋体" w:hAnsi="宋体"/>
          <w:b/>
          <w:sz w:val="24"/>
        </w:rPr>
        <w:t>DN1200</w:t>
      </w:r>
      <w:r>
        <w:rPr>
          <w:rFonts w:hint="eastAsia" w:ascii="宋体" w:hAnsi="宋体"/>
          <w:sz w:val="24"/>
        </w:rPr>
        <w:t>，制热水换热器空气进口</w:t>
      </w:r>
      <w:r>
        <w:rPr>
          <w:rFonts w:hint="eastAsia" w:ascii="宋体" w:hAnsi="宋体"/>
          <w:b/>
          <w:sz w:val="24"/>
        </w:rPr>
        <w:t>D</w:t>
      </w:r>
      <w:r>
        <w:rPr>
          <w:rFonts w:ascii="宋体" w:hAnsi="宋体"/>
          <w:b/>
          <w:sz w:val="24"/>
        </w:rPr>
        <w:t>N700</w:t>
      </w:r>
      <w:r>
        <w:rPr>
          <w:rFonts w:ascii="宋体" w:hAnsi="宋体"/>
          <w:sz w:val="24"/>
        </w:rPr>
        <w:t>，</w:t>
      </w:r>
      <w:r>
        <w:rPr>
          <w:rFonts w:hint="eastAsia" w:ascii="宋体" w:hAnsi="宋体"/>
          <w:sz w:val="24"/>
        </w:rPr>
        <w:t>空气加热器热侧空气进口</w:t>
      </w:r>
      <w:r>
        <w:rPr>
          <w:rFonts w:hint="eastAsia" w:ascii="宋体" w:hAnsi="宋体"/>
          <w:b/>
          <w:sz w:val="24"/>
        </w:rPr>
        <w:t>D</w:t>
      </w:r>
      <w:r>
        <w:rPr>
          <w:rFonts w:ascii="宋体" w:hAnsi="宋体"/>
          <w:b/>
          <w:sz w:val="24"/>
        </w:rPr>
        <w:t>N900</w:t>
      </w:r>
      <w:r>
        <w:rPr>
          <w:rFonts w:ascii="宋体" w:hAnsi="宋体"/>
          <w:sz w:val="24"/>
        </w:rPr>
        <w:t>。</w:t>
      </w:r>
      <w:r>
        <w:rPr>
          <w:rFonts w:hint="eastAsia" w:ascii="宋体" w:hAnsi="宋体"/>
          <w:sz w:val="24"/>
        </w:rPr>
        <w:t>空气法兰标准G</w:t>
      </w:r>
      <w:r>
        <w:rPr>
          <w:rFonts w:ascii="宋体" w:hAnsi="宋体"/>
          <w:sz w:val="24"/>
        </w:rPr>
        <w:t>B/T9124.1-2019/PL/RF，</w:t>
      </w:r>
      <w:r>
        <w:rPr>
          <w:rFonts w:hint="eastAsia" w:ascii="宋体" w:hAnsi="宋体"/>
          <w:sz w:val="24"/>
        </w:rPr>
        <w:t>压力等级0.6MPa。水管DN65/DN125/DN200，法兰标准H</w:t>
      </w:r>
      <w:r>
        <w:rPr>
          <w:rFonts w:ascii="宋体" w:hAnsi="宋体"/>
          <w:sz w:val="24"/>
        </w:rPr>
        <w:t>G/T20592-2009/PL/RF，</w:t>
      </w:r>
      <w:r>
        <w:rPr>
          <w:rFonts w:hint="eastAsia" w:ascii="宋体" w:hAnsi="宋体"/>
          <w:sz w:val="24"/>
        </w:rPr>
        <w:t>压力等级</w:t>
      </w:r>
      <w:r>
        <w:rPr>
          <w:rFonts w:ascii="宋体" w:hAnsi="宋体"/>
          <w:sz w:val="24"/>
        </w:rPr>
        <w:t>1.0MP</w:t>
      </w:r>
      <w:r>
        <w:rPr>
          <w:rFonts w:hint="eastAsia" w:ascii="宋体" w:hAnsi="宋体"/>
          <w:sz w:val="24"/>
        </w:rPr>
        <w:t>a。设备底部排污排水采用便于拆卸的卫生级快装卡箍结构，卖方提供焊接管端口φ32。</w:t>
      </w:r>
    </w:p>
    <w:p w14:paraId="366FE728">
      <w:pPr>
        <w:numPr>
          <w:ilvl w:val="0"/>
          <w:numId w:val="1"/>
        </w:numPr>
        <w:spacing w:line="360" w:lineRule="auto"/>
        <w:rPr>
          <w:rFonts w:ascii="宋体" w:hAnsi="宋体"/>
          <w:sz w:val="24"/>
        </w:rPr>
      </w:pPr>
      <w:r>
        <w:rPr>
          <w:rFonts w:hint="eastAsia" w:ascii="宋体" w:hAnsi="宋体"/>
          <w:sz w:val="24"/>
        </w:rPr>
        <w:t>系统空气管道须保温，进口部分包括从空压机到加热器顶部进口、到制热水换热器进口，出口部分包括从空气加热器封头出口到发酵车间的管道和各种设备。系统内部所有设备都需要保温，底部排污、排水管道保温。保温工作由业主负责。</w:t>
      </w:r>
    </w:p>
    <w:p w14:paraId="7E03B7D4">
      <w:pPr>
        <w:numPr>
          <w:ilvl w:val="0"/>
          <w:numId w:val="1"/>
        </w:numPr>
        <w:spacing w:line="360" w:lineRule="auto"/>
        <w:rPr>
          <w:rFonts w:ascii="宋体" w:hAnsi="宋体"/>
          <w:sz w:val="24"/>
        </w:rPr>
      </w:pPr>
      <w:r>
        <w:rPr>
          <w:rFonts w:hint="eastAsia" w:ascii="宋体" w:hAnsi="宋体"/>
          <w:sz w:val="24"/>
        </w:rPr>
        <w:t>买方应在本技术协议设计指标范围内使用，若超范围使用或因设备在运行中冷却水水质原因引起结垢严重或因氯离子含量超标致换热管泄漏，导致未达到指标，视同达到本技术协议指标即为验收合格。同样原因出现指标下降或故障，也不在质量保证范围内。</w:t>
      </w:r>
    </w:p>
    <w:p w14:paraId="6FB04490">
      <w:pPr>
        <w:numPr>
          <w:ilvl w:val="0"/>
          <w:numId w:val="1"/>
        </w:numPr>
        <w:spacing w:line="360" w:lineRule="auto"/>
        <w:rPr>
          <w:rFonts w:ascii="宋体" w:hAnsi="宋体"/>
          <w:sz w:val="24"/>
        </w:rPr>
      </w:pPr>
      <w:r>
        <w:rPr>
          <w:rFonts w:hint="eastAsia" w:ascii="宋体" w:hAnsi="宋体"/>
          <w:sz w:val="24"/>
        </w:rPr>
        <w:t>卖方必须对买方所有生产工艺技术保密，买方必须对卖方设备专利技术保密，不得仿制或扩散，若一方对另一方违约，必须承担违约法律责任。</w:t>
      </w:r>
    </w:p>
    <w:p w14:paraId="58432E97">
      <w:pPr>
        <w:numPr>
          <w:ilvl w:val="0"/>
          <w:numId w:val="1"/>
        </w:numPr>
        <w:spacing w:line="360" w:lineRule="auto"/>
        <w:rPr>
          <w:rFonts w:ascii="宋体" w:hAnsi="宋体"/>
          <w:sz w:val="24"/>
        </w:rPr>
      </w:pPr>
      <w:r>
        <w:rPr>
          <w:rFonts w:hint="eastAsia" w:ascii="宋体" w:hAnsi="宋体"/>
          <w:sz w:val="24"/>
        </w:rPr>
        <w:t>本协议和相关合同未尽事宜，双方友好协商解决。本协议与相关合同具有同样的法律效力。</w:t>
      </w:r>
    </w:p>
    <w:p w14:paraId="245F2E73">
      <w:pPr>
        <w:spacing w:line="360" w:lineRule="auto"/>
        <w:ind w:left="360"/>
        <w:rPr>
          <w:rFonts w:ascii="宋体" w:hAnsi="宋体"/>
          <w:sz w:val="24"/>
        </w:rPr>
      </w:pPr>
    </w:p>
    <w:p w14:paraId="7285B237">
      <w:pPr>
        <w:spacing w:line="360" w:lineRule="auto"/>
        <w:rPr>
          <w:sz w:val="24"/>
        </w:rPr>
      </w:pPr>
      <w:r>
        <w:rPr>
          <w:rFonts w:hint="eastAsia"/>
          <w:sz w:val="24"/>
        </w:rPr>
        <w:t>附图：系统流程图</w:t>
      </w:r>
    </w:p>
    <w:p w14:paraId="0E12C9EA">
      <w:pPr>
        <w:spacing w:line="360" w:lineRule="auto"/>
        <w:rPr>
          <w:sz w:val="24"/>
        </w:rPr>
      </w:pPr>
    </w:p>
    <w:p w14:paraId="01D8D913">
      <w:pPr>
        <w:spacing w:line="360" w:lineRule="auto"/>
        <w:rPr>
          <w:sz w:val="24"/>
        </w:rPr>
      </w:pPr>
    </w:p>
    <w:p w14:paraId="4C074C33">
      <w:pPr>
        <w:spacing w:line="360" w:lineRule="auto"/>
        <w:rPr>
          <w:sz w:val="24"/>
        </w:rPr>
      </w:pPr>
    </w:p>
    <w:p w14:paraId="4F0325FB">
      <w:pPr>
        <w:spacing w:line="360" w:lineRule="auto"/>
        <w:rPr>
          <w:sz w:val="24"/>
        </w:rPr>
      </w:pPr>
    </w:p>
    <w:p w14:paraId="46D4E5C6">
      <w:pPr>
        <w:spacing w:line="360" w:lineRule="auto"/>
        <w:rPr>
          <w:sz w:val="24"/>
        </w:rPr>
      </w:pPr>
    </w:p>
    <w:p w14:paraId="707FC3BB">
      <w:pPr>
        <w:spacing w:line="360" w:lineRule="auto"/>
        <w:rPr>
          <w:sz w:val="24"/>
        </w:rPr>
      </w:pPr>
    </w:p>
    <w:p w14:paraId="7084BEDD">
      <w:pPr>
        <w:spacing w:line="360" w:lineRule="auto"/>
        <w:rPr>
          <w:sz w:val="24"/>
        </w:rPr>
      </w:pPr>
    </w:p>
    <w:p w14:paraId="2F9B0DB6">
      <w:pPr>
        <w:spacing w:line="360" w:lineRule="auto"/>
        <w:rPr>
          <w:sz w:val="24"/>
        </w:rPr>
      </w:pPr>
    </w:p>
    <w:p w14:paraId="6A69C878">
      <w:pPr>
        <w:spacing w:line="360" w:lineRule="auto"/>
        <w:rPr>
          <w:sz w:val="24"/>
        </w:rPr>
      </w:pPr>
    </w:p>
    <w:p w14:paraId="773C9D20">
      <w:pPr>
        <w:spacing w:line="360" w:lineRule="auto"/>
        <w:rPr>
          <w:sz w:val="24"/>
        </w:rPr>
      </w:pPr>
    </w:p>
    <w:p w14:paraId="7B6FA63C">
      <w:pPr>
        <w:spacing w:line="360" w:lineRule="auto"/>
        <w:rPr>
          <w:sz w:val="24"/>
        </w:rPr>
        <w:sectPr>
          <w:headerReference r:id="rId3" w:type="default"/>
          <w:pgSz w:w="11906" w:h="16838"/>
          <w:pgMar w:top="1558" w:right="1558" w:bottom="1560" w:left="1560" w:header="851" w:footer="597" w:gutter="0"/>
          <w:cols w:space="425" w:num="1"/>
          <w:docGrid w:type="lines" w:linePitch="312" w:charSpace="0"/>
        </w:sectPr>
      </w:pPr>
    </w:p>
    <w:p w14:paraId="5F37B3EC">
      <w:pPr>
        <w:spacing w:line="360" w:lineRule="auto"/>
        <w:rPr>
          <w:sz w:val="24"/>
        </w:rPr>
      </w:pPr>
      <w:bookmarkStart w:id="0" w:name="_GoBack"/>
      <w:r>
        <w:rPr>
          <w:sz w:val="24"/>
        </w:rPr>
        <w:drawing>
          <wp:inline distT="0" distB="0" distL="0" distR="0">
            <wp:extent cx="8747760" cy="62045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8748996" cy="6205684"/>
                    </a:xfrm>
                    <a:prstGeom prst="rect">
                      <a:avLst/>
                    </a:prstGeom>
                    <a:noFill/>
                    <a:ln>
                      <a:noFill/>
                    </a:ln>
                  </pic:spPr>
                </pic:pic>
              </a:graphicData>
            </a:graphic>
          </wp:inline>
        </w:drawing>
      </w:r>
      <w:bookmarkEnd w:id="0"/>
    </w:p>
    <w:sectPr>
      <w:pgSz w:w="16838" w:h="11906" w:orient="landscape"/>
      <w:pgMar w:top="1135" w:right="1559" w:bottom="851" w:left="1559" w:header="851" w:footer="595"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A72">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247B9A"/>
    <w:multiLevelType w:val="multilevel"/>
    <w:tmpl w:val="4A247B9A"/>
    <w:lvl w:ilvl="0" w:tentative="0">
      <w:start w:val="1"/>
      <w:numFmt w:val="decimal"/>
      <w:lvlText w:val="%1."/>
      <w:lvlJc w:val="left"/>
      <w:pPr>
        <w:tabs>
          <w:tab w:val="left" w:pos="360"/>
        </w:tabs>
        <w:ind w:left="360" w:hanging="360"/>
      </w:pPr>
      <w:rPr>
        <w:rFonts w:ascii="Times New Roman" w:hAnsi="Times New Roman" w:eastAsia="Times New Roman"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144"/>
    <w:rsid w:val="0000088F"/>
    <w:rsid w:val="0002130B"/>
    <w:rsid w:val="00025AC8"/>
    <w:rsid w:val="000300C1"/>
    <w:rsid w:val="00042DF2"/>
    <w:rsid w:val="00045D15"/>
    <w:rsid w:val="000509FC"/>
    <w:rsid w:val="00064659"/>
    <w:rsid w:val="00075648"/>
    <w:rsid w:val="000854E9"/>
    <w:rsid w:val="00095D88"/>
    <w:rsid w:val="0009763C"/>
    <w:rsid w:val="000A62AF"/>
    <w:rsid w:val="000B5212"/>
    <w:rsid w:val="000B571A"/>
    <w:rsid w:val="000C1DE0"/>
    <w:rsid w:val="000D120E"/>
    <w:rsid w:val="000D3FDC"/>
    <w:rsid w:val="000E1E99"/>
    <w:rsid w:val="000E2827"/>
    <w:rsid w:val="000E3B53"/>
    <w:rsid w:val="000E5D9F"/>
    <w:rsid w:val="001036BF"/>
    <w:rsid w:val="001045FF"/>
    <w:rsid w:val="00107A99"/>
    <w:rsid w:val="00115D64"/>
    <w:rsid w:val="00147C16"/>
    <w:rsid w:val="00153C79"/>
    <w:rsid w:val="00155060"/>
    <w:rsid w:val="00193C70"/>
    <w:rsid w:val="001979A9"/>
    <w:rsid w:val="001B09EF"/>
    <w:rsid w:val="001B1E53"/>
    <w:rsid w:val="001B6580"/>
    <w:rsid w:val="001C010C"/>
    <w:rsid w:val="001C0311"/>
    <w:rsid w:val="001C06A9"/>
    <w:rsid w:val="001C3F7C"/>
    <w:rsid w:val="001C6237"/>
    <w:rsid w:val="001D2733"/>
    <w:rsid w:val="001D2CBF"/>
    <w:rsid w:val="001D70E0"/>
    <w:rsid w:val="001E08BB"/>
    <w:rsid w:val="001E3F6D"/>
    <w:rsid w:val="001E46B5"/>
    <w:rsid w:val="001F1B8E"/>
    <w:rsid w:val="001F394D"/>
    <w:rsid w:val="001F6ABC"/>
    <w:rsid w:val="00217D35"/>
    <w:rsid w:val="0022532E"/>
    <w:rsid w:val="002416A3"/>
    <w:rsid w:val="00242CA9"/>
    <w:rsid w:val="00250AB7"/>
    <w:rsid w:val="00251927"/>
    <w:rsid w:val="0025301A"/>
    <w:rsid w:val="00253850"/>
    <w:rsid w:val="00254194"/>
    <w:rsid w:val="00254A29"/>
    <w:rsid w:val="0026399C"/>
    <w:rsid w:val="002669D0"/>
    <w:rsid w:val="00270B56"/>
    <w:rsid w:val="002742A4"/>
    <w:rsid w:val="00275169"/>
    <w:rsid w:val="00295BE9"/>
    <w:rsid w:val="002A04E5"/>
    <w:rsid w:val="002B0D00"/>
    <w:rsid w:val="002B1B7D"/>
    <w:rsid w:val="002B3F1D"/>
    <w:rsid w:val="002B6508"/>
    <w:rsid w:val="002B6C3C"/>
    <w:rsid w:val="002C515A"/>
    <w:rsid w:val="002D425E"/>
    <w:rsid w:val="002E184C"/>
    <w:rsid w:val="002F6FBC"/>
    <w:rsid w:val="00305527"/>
    <w:rsid w:val="00322BC5"/>
    <w:rsid w:val="0032345A"/>
    <w:rsid w:val="0032576C"/>
    <w:rsid w:val="003270F6"/>
    <w:rsid w:val="00330F79"/>
    <w:rsid w:val="00331F2A"/>
    <w:rsid w:val="0033508F"/>
    <w:rsid w:val="00337FD1"/>
    <w:rsid w:val="00345BBA"/>
    <w:rsid w:val="00357515"/>
    <w:rsid w:val="00357D1F"/>
    <w:rsid w:val="00362A62"/>
    <w:rsid w:val="003B4078"/>
    <w:rsid w:val="003C02BC"/>
    <w:rsid w:val="003C1174"/>
    <w:rsid w:val="003C674E"/>
    <w:rsid w:val="003C7A04"/>
    <w:rsid w:val="003D79A8"/>
    <w:rsid w:val="003E0708"/>
    <w:rsid w:val="003E1D20"/>
    <w:rsid w:val="003E61FA"/>
    <w:rsid w:val="003F25A6"/>
    <w:rsid w:val="00416B93"/>
    <w:rsid w:val="0041740B"/>
    <w:rsid w:val="00422421"/>
    <w:rsid w:val="0042257A"/>
    <w:rsid w:val="0043181C"/>
    <w:rsid w:val="004408F1"/>
    <w:rsid w:val="00446A1F"/>
    <w:rsid w:val="004507F3"/>
    <w:rsid w:val="004544DA"/>
    <w:rsid w:val="00455BC7"/>
    <w:rsid w:val="00467BC6"/>
    <w:rsid w:val="004715D8"/>
    <w:rsid w:val="00471ED0"/>
    <w:rsid w:val="00474DB1"/>
    <w:rsid w:val="00482C5D"/>
    <w:rsid w:val="00484B1C"/>
    <w:rsid w:val="004875B4"/>
    <w:rsid w:val="0049482D"/>
    <w:rsid w:val="00497BB6"/>
    <w:rsid w:val="004A7EEA"/>
    <w:rsid w:val="004B4D48"/>
    <w:rsid w:val="004B5034"/>
    <w:rsid w:val="004F1AC4"/>
    <w:rsid w:val="00514A5E"/>
    <w:rsid w:val="00514F6C"/>
    <w:rsid w:val="0052224F"/>
    <w:rsid w:val="00531EE7"/>
    <w:rsid w:val="00537CFD"/>
    <w:rsid w:val="0054059B"/>
    <w:rsid w:val="00543FF1"/>
    <w:rsid w:val="00546E42"/>
    <w:rsid w:val="00557749"/>
    <w:rsid w:val="00561D3B"/>
    <w:rsid w:val="00570E01"/>
    <w:rsid w:val="00573E13"/>
    <w:rsid w:val="00582AEF"/>
    <w:rsid w:val="00590471"/>
    <w:rsid w:val="00594E21"/>
    <w:rsid w:val="005B1571"/>
    <w:rsid w:val="005D6CC1"/>
    <w:rsid w:val="005D7031"/>
    <w:rsid w:val="005E4375"/>
    <w:rsid w:val="005F0C23"/>
    <w:rsid w:val="005F4E7C"/>
    <w:rsid w:val="0060765D"/>
    <w:rsid w:val="00613450"/>
    <w:rsid w:val="00615E73"/>
    <w:rsid w:val="0061719F"/>
    <w:rsid w:val="006209E4"/>
    <w:rsid w:val="00623A49"/>
    <w:rsid w:val="0062705D"/>
    <w:rsid w:val="0063556B"/>
    <w:rsid w:val="00640DB3"/>
    <w:rsid w:val="00656656"/>
    <w:rsid w:val="006630D9"/>
    <w:rsid w:val="006631BD"/>
    <w:rsid w:val="00670CE2"/>
    <w:rsid w:val="00687B70"/>
    <w:rsid w:val="0069597A"/>
    <w:rsid w:val="006B4915"/>
    <w:rsid w:val="006B49E9"/>
    <w:rsid w:val="006E1760"/>
    <w:rsid w:val="006E1F35"/>
    <w:rsid w:val="006E3EA3"/>
    <w:rsid w:val="006F6118"/>
    <w:rsid w:val="0070354D"/>
    <w:rsid w:val="00706647"/>
    <w:rsid w:val="00714C5C"/>
    <w:rsid w:val="00726F03"/>
    <w:rsid w:val="00734342"/>
    <w:rsid w:val="00734F62"/>
    <w:rsid w:val="007358AF"/>
    <w:rsid w:val="00735F54"/>
    <w:rsid w:val="007369DA"/>
    <w:rsid w:val="0074473E"/>
    <w:rsid w:val="00744C81"/>
    <w:rsid w:val="007459D8"/>
    <w:rsid w:val="0075089B"/>
    <w:rsid w:val="007672DD"/>
    <w:rsid w:val="00777D0C"/>
    <w:rsid w:val="007866D4"/>
    <w:rsid w:val="007A407A"/>
    <w:rsid w:val="007B5A4E"/>
    <w:rsid w:val="007D398C"/>
    <w:rsid w:val="007D3EE4"/>
    <w:rsid w:val="007D677A"/>
    <w:rsid w:val="007D7673"/>
    <w:rsid w:val="007D7FA9"/>
    <w:rsid w:val="007E27BC"/>
    <w:rsid w:val="007E4E05"/>
    <w:rsid w:val="008017E4"/>
    <w:rsid w:val="00802061"/>
    <w:rsid w:val="00817A76"/>
    <w:rsid w:val="008267D0"/>
    <w:rsid w:val="0083162F"/>
    <w:rsid w:val="00832434"/>
    <w:rsid w:val="00833786"/>
    <w:rsid w:val="00837342"/>
    <w:rsid w:val="00854F7F"/>
    <w:rsid w:val="00857F61"/>
    <w:rsid w:val="008655B1"/>
    <w:rsid w:val="00874F0B"/>
    <w:rsid w:val="00882708"/>
    <w:rsid w:val="0089106C"/>
    <w:rsid w:val="00895269"/>
    <w:rsid w:val="008A37E9"/>
    <w:rsid w:val="008A7B51"/>
    <w:rsid w:val="008C6994"/>
    <w:rsid w:val="008C6A1F"/>
    <w:rsid w:val="008C7E09"/>
    <w:rsid w:val="008D0838"/>
    <w:rsid w:val="008D3CDF"/>
    <w:rsid w:val="008D6DEB"/>
    <w:rsid w:val="008D6F1B"/>
    <w:rsid w:val="008F01B4"/>
    <w:rsid w:val="008F5A5B"/>
    <w:rsid w:val="00906E74"/>
    <w:rsid w:val="009209E0"/>
    <w:rsid w:val="00920D94"/>
    <w:rsid w:val="00925E5D"/>
    <w:rsid w:val="00926147"/>
    <w:rsid w:val="009307D9"/>
    <w:rsid w:val="00932EB2"/>
    <w:rsid w:val="00940774"/>
    <w:rsid w:val="009422C1"/>
    <w:rsid w:val="009422D3"/>
    <w:rsid w:val="00943B18"/>
    <w:rsid w:val="00957A25"/>
    <w:rsid w:val="0096452C"/>
    <w:rsid w:val="00976C90"/>
    <w:rsid w:val="00980524"/>
    <w:rsid w:val="00984B66"/>
    <w:rsid w:val="009901A9"/>
    <w:rsid w:val="00990290"/>
    <w:rsid w:val="0099290E"/>
    <w:rsid w:val="009935A7"/>
    <w:rsid w:val="009950C0"/>
    <w:rsid w:val="009956BB"/>
    <w:rsid w:val="009964A6"/>
    <w:rsid w:val="00996FD1"/>
    <w:rsid w:val="009B6268"/>
    <w:rsid w:val="009D20EE"/>
    <w:rsid w:val="009D3144"/>
    <w:rsid w:val="009D336D"/>
    <w:rsid w:val="009D6566"/>
    <w:rsid w:val="009E0539"/>
    <w:rsid w:val="009F3671"/>
    <w:rsid w:val="009F61D5"/>
    <w:rsid w:val="00A00933"/>
    <w:rsid w:val="00A01EA1"/>
    <w:rsid w:val="00A039A8"/>
    <w:rsid w:val="00A054E2"/>
    <w:rsid w:val="00A108CC"/>
    <w:rsid w:val="00A23940"/>
    <w:rsid w:val="00A35F8F"/>
    <w:rsid w:val="00A36E81"/>
    <w:rsid w:val="00A4129E"/>
    <w:rsid w:val="00A47248"/>
    <w:rsid w:val="00A5015E"/>
    <w:rsid w:val="00A51689"/>
    <w:rsid w:val="00A605B3"/>
    <w:rsid w:val="00A61216"/>
    <w:rsid w:val="00A61A36"/>
    <w:rsid w:val="00A671D7"/>
    <w:rsid w:val="00A67882"/>
    <w:rsid w:val="00A70159"/>
    <w:rsid w:val="00A719FD"/>
    <w:rsid w:val="00A928AD"/>
    <w:rsid w:val="00AA1592"/>
    <w:rsid w:val="00AA5933"/>
    <w:rsid w:val="00AC0B92"/>
    <w:rsid w:val="00AC7D19"/>
    <w:rsid w:val="00AD1541"/>
    <w:rsid w:val="00AE386E"/>
    <w:rsid w:val="00AF13F1"/>
    <w:rsid w:val="00AF16A5"/>
    <w:rsid w:val="00AF3F7C"/>
    <w:rsid w:val="00AF6CE1"/>
    <w:rsid w:val="00B001C1"/>
    <w:rsid w:val="00B079C5"/>
    <w:rsid w:val="00B11159"/>
    <w:rsid w:val="00B1146A"/>
    <w:rsid w:val="00B12BFA"/>
    <w:rsid w:val="00B14588"/>
    <w:rsid w:val="00B14C6D"/>
    <w:rsid w:val="00B25547"/>
    <w:rsid w:val="00B30708"/>
    <w:rsid w:val="00B315A4"/>
    <w:rsid w:val="00B37AA6"/>
    <w:rsid w:val="00B4206A"/>
    <w:rsid w:val="00B44D0B"/>
    <w:rsid w:val="00B4726F"/>
    <w:rsid w:val="00B5062E"/>
    <w:rsid w:val="00B521D0"/>
    <w:rsid w:val="00B52811"/>
    <w:rsid w:val="00B64FCC"/>
    <w:rsid w:val="00B7161D"/>
    <w:rsid w:val="00B7177A"/>
    <w:rsid w:val="00B73A76"/>
    <w:rsid w:val="00B76707"/>
    <w:rsid w:val="00B977FC"/>
    <w:rsid w:val="00BA5974"/>
    <w:rsid w:val="00BB0D00"/>
    <w:rsid w:val="00BB3360"/>
    <w:rsid w:val="00BB357C"/>
    <w:rsid w:val="00BC732E"/>
    <w:rsid w:val="00BC7C08"/>
    <w:rsid w:val="00BD1AF2"/>
    <w:rsid w:val="00BD417E"/>
    <w:rsid w:val="00BE13C1"/>
    <w:rsid w:val="00BE27BB"/>
    <w:rsid w:val="00BF01C3"/>
    <w:rsid w:val="00BF06C0"/>
    <w:rsid w:val="00C00F3C"/>
    <w:rsid w:val="00C05D7E"/>
    <w:rsid w:val="00C073D3"/>
    <w:rsid w:val="00C21A18"/>
    <w:rsid w:val="00C22ED1"/>
    <w:rsid w:val="00C25F83"/>
    <w:rsid w:val="00C273F3"/>
    <w:rsid w:val="00C55AAC"/>
    <w:rsid w:val="00C6349E"/>
    <w:rsid w:val="00C64BAA"/>
    <w:rsid w:val="00C657B1"/>
    <w:rsid w:val="00C7253B"/>
    <w:rsid w:val="00C82197"/>
    <w:rsid w:val="00C8755E"/>
    <w:rsid w:val="00C87BFF"/>
    <w:rsid w:val="00C97F55"/>
    <w:rsid w:val="00CA176E"/>
    <w:rsid w:val="00CA3558"/>
    <w:rsid w:val="00CA3976"/>
    <w:rsid w:val="00CA48A4"/>
    <w:rsid w:val="00CC2D34"/>
    <w:rsid w:val="00CD0B7F"/>
    <w:rsid w:val="00CD39CC"/>
    <w:rsid w:val="00CE4136"/>
    <w:rsid w:val="00CE4665"/>
    <w:rsid w:val="00CE588C"/>
    <w:rsid w:val="00CF10B3"/>
    <w:rsid w:val="00D240BD"/>
    <w:rsid w:val="00D2429D"/>
    <w:rsid w:val="00D34506"/>
    <w:rsid w:val="00D41B45"/>
    <w:rsid w:val="00D563DD"/>
    <w:rsid w:val="00D64376"/>
    <w:rsid w:val="00D675AE"/>
    <w:rsid w:val="00D74E02"/>
    <w:rsid w:val="00D7583A"/>
    <w:rsid w:val="00D85060"/>
    <w:rsid w:val="00DA5DC6"/>
    <w:rsid w:val="00DA7494"/>
    <w:rsid w:val="00DB1466"/>
    <w:rsid w:val="00DB6466"/>
    <w:rsid w:val="00DB74AA"/>
    <w:rsid w:val="00DD4D15"/>
    <w:rsid w:val="00DD6625"/>
    <w:rsid w:val="00DD792B"/>
    <w:rsid w:val="00DE5976"/>
    <w:rsid w:val="00E00A81"/>
    <w:rsid w:val="00E0335B"/>
    <w:rsid w:val="00E12497"/>
    <w:rsid w:val="00E21D28"/>
    <w:rsid w:val="00E22540"/>
    <w:rsid w:val="00E353FF"/>
    <w:rsid w:val="00E45757"/>
    <w:rsid w:val="00E52F68"/>
    <w:rsid w:val="00E5542A"/>
    <w:rsid w:val="00E579BD"/>
    <w:rsid w:val="00E62074"/>
    <w:rsid w:val="00E8198B"/>
    <w:rsid w:val="00E9229C"/>
    <w:rsid w:val="00E92EC3"/>
    <w:rsid w:val="00EA2688"/>
    <w:rsid w:val="00EA76B1"/>
    <w:rsid w:val="00EB1672"/>
    <w:rsid w:val="00EB5EBE"/>
    <w:rsid w:val="00EC414A"/>
    <w:rsid w:val="00EC54FD"/>
    <w:rsid w:val="00EE1B96"/>
    <w:rsid w:val="00EE1D4E"/>
    <w:rsid w:val="00EE70CA"/>
    <w:rsid w:val="00EF7B32"/>
    <w:rsid w:val="00F06660"/>
    <w:rsid w:val="00F120A4"/>
    <w:rsid w:val="00F13778"/>
    <w:rsid w:val="00F1658C"/>
    <w:rsid w:val="00F16EBB"/>
    <w:rsid w:val="00F214F1"/>
    <w:rsid w:val="00F245C4"/>
    <w:rsid w:val="00F2574B"/>
    <w:rsid w:val="00F30C2A"/>
    <w:rsid w:val="00F34ECA"/>
    <w:rsid w:val="00F4086C"/>
    <w:rsid w:val="00F557ED"/>
    <w:rsid w:val="00F56061"/>
    <w:rsid w:val="00F5712E"/>
    <w:rsid w:val="00F62236"/>
    <w:rsid w:val="00F661DB"/>
    <w:rsid w:val="00F85295"/>
    <w:rsid w:val="00F935DC"/>
    <w:rsid w:val="00FA0EC4"/>
    <w:rsid w:val="00FA7A97"/>
    <w:rsid w:val="00FB4B16"/>
    <w:rsid w:val="00FD0724"/>
    <w:rsid w:val="00FD15AD"/>
    <w:rsid w:val="00FD4E6B"/>
    <w:rsid w:val="00FE01C1"/>
    <w:rsid w:val="00FE7F3F"/>
    <w:rsid w:val="6541007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uiPriority w:val="99"/>
    <w:pPr>
      <w:jc w:val="left"/>
    </w:pPr>
  </w:style>
  <w:style w:type="paragraph" w:styleId="3">
    <w:name w:val="Balloon Text"/>
    <w:basedOn w:val="1"/>
    <w:link w:val="15"/>
    <w:semiHidden/>
    <w:unhideWhenUsed/>
    <w:uiPriority w:val="99"/>
    <w:rPr>
      <w:sz w:val="18"/>
      <w:szCs w:val="18"/>
    </w:rPr>
  </w:style>
  <w:style w:type="paragraph" w:styleId="4">
    <w:name w:val="footer"/>
    <w:basedOn w:val="1"/>
    <w:link w:val="13"/>
    <w:semiHidden/>
    <w:uiPriority w:val="99"/>
    <w:pPr>
      <w:tabs>
        <w:tab w:val="center" w:pos="4153"/>
        <w:tab w:val="right" w:pos="8306"/>
      </w:tabs>
      <w:snapToGrid w:val="0"/>
      <w:jc w:val="left"/>
    </w:pPr>
    <w:rPr>
      <w:sz w:val="18"/>
      <w:szCs w:val="18"/>
    </w:rPr>
  </w:style>
  <w:style w:type="paragraph" w:styleId="5">
    <w:name w:val="header"/>
    <w:basedOn w:val="1"/>
    <w:link w:val="11"/>
    <w:semiHidden/>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7"/>
    <w:semiHidden/>
    <w:unhideWhenUsed/>
    <w:uiPriority w:val="99"/>
    <w:rPr>
      <w:b/>
      <w:bCs/>
    </w:rPr>
  </w:style>
  <w:style w:type="table" w:styleId="8">
    <w:name w:val="Table Grid"/>
    <w:basedOn w:val="7"/>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annotation reference"/>
    <w:basedOn w:val="9"/>
    <w:semiHidden/>
    <w:unhideWhenUsed/>
    <w:uiPriority w:val="99"/>
    <w:rPr>
      <w:sz w:val="21"/>
      <w:szCs w:val="21"/>
    </w:rPr>
  </w:style>
  <w:style w:type="character" w:customStyle="1" w:styleId="11">
    <w:name w:val="页眉 Char1"/>
    <w:link w:val="5"/>
    <w:semiHidden/>
    <w:locked/>
    <w:uiPriority w:val="99"/>
    <w:rPr>
      <w:rFonts w:cs="Times New Roman"/>
      <w:sz w:val="18"/>
      <w:szCs w:val="18"/>
    </w:rPr>
  </w:style>
  <w:style w:type="character" w:customStyle="1" w:styleId="12">
    <w:name w:val="页眉 Char"/>
    <w:uiPriority w:val="99"/>
    <w:rPr>
      <w:kern w:val="2"/>
      <w:sz w:val="18"/>
    </w:rPr>
  </w:style>
  <w:style w:type="character" w:customStyle="1" w:styleId="13">
    <w:name w:val="页脚 Char1"/>
    <w:link w:val="4"/>
    <w:semiHidden/>
    <w:locked/>
    <w:uiPriority w:val="99"/>
    <w:rPr>
      <w:rFonts w:cs="Times New Roman"/>
      <w:sz w:val="18"/>
      <w:szCs w:val="18"/>
    </w:rPr>
  </w:style>
  <w:style w:type="character" w:customStyle="1" w:styleId="14">
    <w:name w:val="页脚 Char"/>
    <w:uiPriority w:val="99"/>
    <w:rPr>
      <w:kern w:val="2"/>
      <w:sz w:val="18"/>
    </w:rPr>
  </w:style>
  <w:style w:type="character" w:customStyle="1" w:styleId="15">
    <w:name w:val="批注框文本 Char"/>
    <w:basedOn w:val="9"/>
    <w:link w:val="3"/>
    <w:semiHidden/>
    <w:uiPriority w:val="99"/>
    <w:rPr>
      <w:kern w:val="2"/>
      <w:sz w:val="18"/>
      <w:szCs w:val="18"/>
    </w:rPr>
  </w:style>
  <w:style w:type="character" w:customStyle="1" w:styleId="16">
    <w:name w:val="批注文字 Char"/>
    <w:basedOn w:val="9"/>
    <w:link w:val="2"/>
    <w:semiHidden/>
    <w:uiPriority w:val="99"/>
    <w:rPr>
      <w:kern w:val="2"/>
      <w:sz w:val="21"/>
      <w:szCs w:val="24"/>
    </w:rPr>
  </w:style>
  <w:style w:type="character" w:customStyle="1" w:styleId="17">
    <w:name w:val="批注主题 Char"/>
    <w:basedOn w:val="16"/>
    <w:link w:val="6"/>
    <w:semiHidden/>
    <w:uiPriority w:val="99"/>
    <w:rPr>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B7CA0-12A5-4492-9A99-0ABC0E1B04F5}">
  <ds:schemaRefs/>
</ds:datastoreItem>
</file>

<file path=docProps/app.xml><?xml version="1.0" encoding="utf-8"?>
<Properties xmlns="http://schemas.openxmlformats.org/officeDocument/2006/extended-properties" xmlns:vt="http://schemas.openxmlformats.org/officeDocument/2006/docPropsVTypes">
  <Template>Normal</Template>
  <Company>联想（北京）有限公司</Company>
  <Pages>4</Pages>
  <Words>1886</Words>
  <Characters>2166</Characters>
  <Lines>17</Lines>
  <Paragraphs>4</Paragraphs>
  <TotalTime>866</TotalTime>
  <ScaleCrop>false</ScaleCrop>
  <LinksUpToDate>false</LinksUpToDate>
  <CharactersWithSpaces>2323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2017-07-17T03:06:00Z</dcterms:created>
  <dc:creator>Lenovo User</dc:creator>
  <cp:lastModifiedBy>Administrator</cp:lastModifiedBy>
  <dcterms:modified xsi:type="dcterms:W3CDTF">2025-02-24T02:12:48Z</dcterms:modified>
  <dc:title>国光发酵空气预处理系统合同技术协议</dc:title>
  <cp:revision>288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eyJoZGlkIjoiNDBlN2I5MTEwOTg1Y2I1ZDMzYWYyMTRkZjdiOTBkMmEifQ==</vt:lpwstr>
  </property>
  <property fmtid="{D5CDD505-2E9C-101B-9397-08002B2CF9AE}" pid="3" name="KSOProductBuildVer">
    <vt:lpwstr>2052-12.1.0.20305</vt:lpwstr>
  </property>
  <property fmtid="{D5CDD505-2E9C-101B-9397-08002B2CF9AE}" pid="4" name="ICV">
    <vt:lpwstr>AA7B126267C7402BA1818160BA89D30E_13</vt:lpwstr>
  </property>
</Properties>
</file>